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5A1CE75B" w:rsidR="00CD4C7B" w:rsidRPr="00B266B0" w:rsidRDefault="00CD4C7B" w:rsidP="00CD4C7B">
      <w:pPr>
        <w:pStyle w:val="a3"/>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EE022B">
        <w:rPr>
          <w:noProof w:val="0"/>
          <w:sz w:val="24"/>
          <w:szCs w:val="24"/>
        </w:rPr>
        <w:t>7</w:t>
      </w:r>
      <w:r w:rsidR="00741EC5">
        <w:rPr>
          <w:noProof w:val="0"/>
          <w:sz w:val="24"/>
          <w:szCs w:val="24"/>
        </w:rPr>
        <w:t>-e</w:t>
      </w:r>
      <w:r w:rsidRPr="00B266B0">
        <w:rPr>
          <w:bCs/>
          <w:noProof w:val="0"/>
          <w:sz w:val="24"/>
          <w:szCs w:val="24"/>
        </w:rPr>
        <w:tab/>
      </w:r>
      <w:r w:rsidR="00D45D1F" w:rsidRPr="00D45D1F">
        <w:rPr>
          <w:bCs/>
          <w:noProof w:val="0"/>
          <w:sz w:val="24"/>
          <w:szCs w:val="24"/>
        </w:rPr>
        <w:t>R3-224767</w:t>
      </w:r>
    </w:p>
    <w:p w14:paraId="1822B173" w14:textId="1B9A9B8E" w:rsidR="00CD4C7B" w:rsidRPr="00B1063A" w:rsidRDefault="00797D4B" w:rsidP="00CD4C7B">
      <w:pPr>
        <w:pStyle w:val="a3"/>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EE022B">
        <w:rPr>
          <w:rFonts w:cs="Arial"/>
          <w:sz w:val="24"/>
          <w:szCs w:val="24"/>
        </w:rPr>
        <w:t>15</w:t>
      </w:r>
      <w:r w:rsidR="006B36A5" w:rsidRPr="006B36A5">
        <w:rPr>
          <w:rFonts w:cs="Arial"/>
          <w:sz w:val="24"/>
          <w:szCs w:val="24"/>
        </w:rPr>
        <w:t xml:space="preserve"> – </w:t>
      </w:r>
      <w:r w:rsidR="00EE022B">
        <w:rPr>
          <w:rFonts w:cs="Arial"/>
          <w:sz w:val="24"/>
          <w:szCs w:val="24"/>
        </w:rPr>
        <w:t>24 Aug</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a3"/>
        <w:rPr>
          <w:bCs/>
          <w:noProof w:val="0"/>
          <w:sz w:val="24"/>
          <w:lang w:val="en-US"/>
        </w:rPr>
      </w:pPr>
    </w:p>
    <w:p w14:paraId="0717E73E" w14:textId="77777777" w:rsidR="00CD4C7B" w:rsidRPr="00B1063A" w:rsidRDefault="00CD4C7B" w:rsidP="00CD4C7B">
      <w:pPr>
        <w:pStyle w:val="a3"/>
        <w:rPr>
          <w:bCs/>
          <w:noProof w:val="0"/>
          <w:sz w:val="24"/>
          <w:lang w:val="en-US"/>
        </w:rPr>
      </w:pPr>
    </w:p>
    <w:p w14:paraId="3B0EF5F6" w14:textId="1F4078B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4E5AF7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Discussion on IAB Full migration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57E3711" w14:textId="3283852A" w:rsidR="00800860" w:rsidRDefault="007E1F12" w:rsidP="00CD4C7B">
      <w:r>
        <w:rPr>
          <w:noProof/>
        </w:rPr>
        <mc:AlternateContent>
          <mc:Choice Requires="wps">
            <w:drawing>
              <wp:anchor distT="0" distB="0" distL="114300" distR="114300" simplePos="0" relativeHeight="251659264" behindDoc="0" locked="0" layoutInCell="1" allowOverlap="1" wp14:anchorId="1003F3E7" wp14:editId="7B9B8529">
                <wp:simplePos x="0" y="0"/>
                <wp:positionH relativeFrom="column">
                  <wp:posOffset>-27305</wp:posOffset>
                </wp:positionH>
                <wp:positionV relativeFrom="paragraph">
                  <wp:posOffset>541020</wp:posOffset>
                </wp:positionV>
                <wp:extent cx="5619750" cy="1936750"/>
                <wp:effectExtent l="0" t="0" r="19050" b="25400"/>
                <wp:wrapTopAndBottom/>
                <wp:docPr id="1" name="文本框 1"/>
                <wp:cNvGraphicFramePr/>
                <a:graphic xmlns:a="http://schemas.openxmlformats.org/drawingml/2006/main">
                  <a:graphicData uri="http://schemas.microsoft.com/office/word/2010/wordprocessingShape">
                    <wps:wsp>
                      <wps:cNvSpPr txBox="1"/>
                      <wps:spPr>
                        <a:xfrm>
                          <a:off x="0" y="0"/>
                          <a:ext cx="5619750" cy="1936750"/>
                        </a:xfrm>
                        <a:prstGeom prst="rect">
                          <a:avLst/>
                        </a:prstGeom>
                        <a:solidFill>
                          <a:schemeClr val="lt1"/>
                        </a:solidFill>
                        <a:ln w="6350">
                          <a:solidFill>
                            <a:prstClr val="black"/>
                          </a:solidFill>
                        </a:ln>
                      </wps:spPr>
                      <wps:txbx>
                        <w:txbxContent>
                          <w:p w14:paraId="6B4D8497" w14:textId="77777777" w:rsidR="005361A0" w:rsidRPr="007E1F12" w:rsidRDefault="005361A0" w:rsidP="007E1F12">
                            <w:pPr>
                              <w:pStyle w:val="maintext"/>
                              <w:spacing w:before="120" w:after="120" w:line="240" w:lineRule="auto"/>
                              <w:ind w:firstLineChars="0" w:firstLine="0"/>
                              <w:rPr>
                                <w:rFonts w:eastAsia="Times New Roman" w:cs="Times New Roman"/>
                                <w:b/>
                                <w:bCs/>
                                <w:lang w:eastAsia="en-US"/>
                              </w:rPr>
                            </w:pPr>
                            <w:r w:rsidRPr="007E1F12">
                              <w:rPr>
                                <w:rFonts w:eastAsia="Times New Roman" w:cs="Times New Roman"/>
                                <w:b/>
                                <w:bCs/>
                                <w:lang w:eastAsia="en-US"/>
                              </w:rPr>
                              <w:t>Procedures for migration/topology adaptation to enable IAB-node mobility, including inter-donor migration of the entire mobile IAB-node (full migration)</w:t>
                            </w:r>
                          </w:p>
                          <w:p w14:paraId="17E4778A" w14:textId="77777777" w:rsidR="005361A0" w:rsidRPr="007E1F12" w:rsidRDefault="005361A0" w:rsidP="007E1F12">
                            <w:pPr>
                              <w:pStyle w:val="maintext"/>
                              <w:spacing w:before="120" w:after="120" w:line="240" w:lineRule="auto"/>
                              <w:ind w:left="800" w:firstLineChars="0" w:firstLine="0"/>
                              <w:rPr>
                                <w:rFonts w:eastAsia="Times New Roman" w:cs="Times New Roman"/>
                                <w:b/>
                                <w:bCs/>
                                <w:lang w:eastAsia="en-US"/>
                              </w:rPr>
                            </w:pPr>
                            <w:r w:rsidRPr="007E1F12">
                              <w:rPr>
                                <w:rFonts w:eastAsia="Times New Roman" w:cs="Times New Roman"/>
                                <w:bCs/>
                              </w:rPr>
                              <w:t>This objective primarily focuses on the migration of the mobile IAB-node.</w:t>
                            </w:r>
                          </w:p>
                          <w:p w14:paraId="32CAA527" w14:textId="77777777" w:rsidR="005361A0" w:rsidRPr="007E1F12" w:rsidRDefault="005361A0" w:rsidP="007E1F12">
                            <w:pPr>
                              <w:pStyle w:val="a9"/>
                              <w:widowControl/>
                              <w:numPr>
                                <w:ilvl w:val="0"/>
                                <w:numId w:val="12"/>
                              </w:numPr>
                              <w:spacing w:before="60" w:after="60"/>
                              <w:ind w:leftChars="0"/>
                              <w:jc w:val="left"/>
                              <w:rPr>
                                <w:rFonts w:ascii="Times New Roman" w:eastAsia="Times New Roman" w:hAnsi="Times New Roman"/>
                                <w:sz w:val="20"/>
                              </w:rPr>
                            </w:pPr>
                            <w:r w:rsidRPr="007E1F12">
                              <w:rPr>
                                <w:rFonts w:ascii="Times New Roman" w:eastAsia="Times New Roman" w:hAnsi="Times New Roman"/>
                                <w:sz w:val="20"/>
                              </w:rPr>
                              <w:t>Continue the discussion on the functionality needed for full migration started during Rel-17.</w:t>
                            </w:r>
                          </w:p>
                          <w:p w14:paraId="232E8F9A" w14:textId="77777777" w:rsidR="005361A0" w:rsidRPr="007E1F12" w:rsidRDefault="005361A0" w:rsidP="007E1F12">
                            <w:pPr>
                              <w:pStyle w:val="a9"/>
                              <w:widowControl/>
                              <w:numPr>
                                <w:ilvl w:val="0"/>
                                <w:numId w:val="12"/>
                              </w:numPr>
                              <w:spacing w:before="60" w:after="60"/>
                              <w:ind w:leftChars="0"/>
                              <w:jc w:val="left"/>
                              <w:rPr>
                                <w:rFonts w:ascii="Times New Roman" w:eastAsia="Times New Roman" w:hAnsi="Times New Roman"/>
                                <w:sz w:val="20"/>
                              </w:rPr>
                            </w:pPr>
                            <w:r w:rsidRPr="007E1F12">
                              <w:rPr>
                                <w:rFonts w:ascii="Times New Roman" w:eastAsia="Times New Roman" w:hAnsi="Times New Roman"/>
                                <w:sz w:val="20"/>
                              </w:rPr>
                              <w:t>Identify and converge on other enhancements related to this objective that are in RAN3-scope and should be supported during Rel-18.</w:t>
                            </w:r>
                          </w:p>
                          <w:p w14:paraId="73E478A1" w14:textId="042C1DD9" w:rsidR="005361A0" w:rsidRPr="007E1F12" w:rsidRDefault="005361A0" w:rsidP="007E1F12">
                            <w:pPr>
                              <w:pStyle w:val="a9"/>
                              <w:widowControl/>
                              <w:numPr>
                                <w:ilvl w:val="0"/>
                                <w:numId w:val="12"/>
                              </w:numPr>
                              <w:spacing w:before="60" w:after="60"/>
                              <w:ind w:leftChars="0"/>
                              <w:jc w:val="left"/>
                              <w:rPr>
                                <w:rFonts w:ascii="Times New Roman" w:eastAsia="Times New Roman" w:hAnsi="Times New Roman"/>
                                <w:sz w:val="20"/>
                              </w:rPr>
                            </w:pPr>
                            <w:r w:rsidRPr="007E1F12">
                              <w:rPr>
                                <w:rFonts w:ascii="Times New Roman" w:eastAsia="Times New Roman" w:hAnsi="Times New Roman"/>
                                <w:sz w:val="20"/>
                              </w:rPr>
                              <w:t xml:space="preserve">Discuss if topology adaptation in absence of </w:t>
                            </w:r>
                            <w:proofErr w:type="spellStart"/>
                            <w:r w:rsidRPr="007E1F12">
                              <w:rPr>
                                <w:rFonts w:ascii="Times New Roman" w:eastAsia="Times New Roman" w:hAnsi="Times New Roman"/>
                                <w:sz w:val="20"/>
                              </w:rPr>
                              <w:t>Xn</w:t>
                            </w:r>
                            <w:proofErr w:type="spellEnd"/>
                            <w:r w:rsidRPr="007E1F12">
                              <w:rPr>
                                <w:rFonts w:ascii="Times New Roman" w:eastAsia="Times New Roman" w:hAnsi="Times New Roman"/>
                                <w:sz w:val="20"/>
                              </w:rPr>
                              <w:t xml:space="preserve"> should be supported in Rel-18, and, if applicable, converge on the necessary enhancements.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003F3E7" id="_x0000_t202" coordsize="21600,21600" o:spt="202" path="m,l,21600r21600,l21600,xe">
                <v:stroke joinstyle="miter"/>
                <v:path gradientshapeok="t" o:connecttype="rect"/>
              </v:shapetype>
              <v:shape id="文本框 1" o:spid="_x0000_s1026" type="#_x0000_t202" style="position:absolute;margin-left:-2.15pt;margin-top:42.6pt;width:442.5pt;height:1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" fillcolor="white [3201]" strokeweight=".5pt">
                <v:textbox>
                  <w:txbxContent>
                    <w:p w14:paraId="6B4D8497" w14:textId="77777777" w:rsidR="005361A0" w:rsidRPr="007E1F12" w:rsidRDefault="005361A0" w:rsidP="007E1F12">
                      <w:pPr>
                        <w:pStyle w:val="maintext"/>
                        <w:spacing w:before="120" w:after="120" w:line="240" w:lineRule="auto"/>
                        <w:ind w:firstLineChars="0" w:firstLine="0"/>
                        <w:rPr>
                          <w:rFonts w:eastAsia="Times New Roman" w:cs="Times New Roman"/>
                          <w:b/>
                          <w:bCs/>
                          <w:lang w:eastAsia="en-US"/>
                        </w:rPr>
                      </w:pPr>
                      <w:r w:rsidRPr="007E1F12">
                        <w:rPr>
                          <w:rFonts w:eastAsia="Times New Roman" w:cs="Times New Roman"/>
                          <w:b/>
                          <w:bCs/>
                          <w:lang w:eastAsia="en-US"/>
                        </w:rPr>
                        <w:t>Procedures for migration/topology adaptation to enable IAB-node mobility, including inter-donor migration of the entire mobile IAB-node (full migration)</w:t>
                      </w:r>
                    </w:p>
                    <w:p w14:paraId="17E4778A" w14:textId="77777777" w:rsidR="005361A0" w:rsidRPr="007E1F12" w:rsidRDefault="005361A0" w:rsidP="007E1F12">
                      <w:pPr>
                        <w:pStyle w:val="maintext"/>
                        <w:spacing w:before="120" w:after="120" w:line="240" w:lineRule="auto"/>
                        <w:ind w:left="800" w:firstLineChars="0" w:firstLine="0"/>
                        <w:rPr>
                          <w:rFonts w:eastAsia="Times New Roman" w:cs="Times New Roman"/>
                          <w:b/>
                          <w:bCs/>
                          <w:lang w:eastAsia="en-US"/>
                        </w:rPr>
                      </w:pPr>
                      <w:r w:rsidRPr="007E1F12">
                        <w:rPr>
                          <w:rFonts w:eastAsia="Times New Roman" w:cs="Times New Roman"/>
                          <w:bCs/>
                        </w:rPr>
                        <w:t>This objective primarily focuses on the migration of the mobile IAB-node.</w:t>
                      </w:r>
                    </w:p>
                    <w:p w14:paraId="32CAA527" w14:textId="77777777" w:rsidR="005361A0" w:rsidRPr="007E1F12" w:rsidRDefault="005361A0" w:rsidP="007E1F12">
                      <w:pPr>
                        <w:pStyle w:val="a9"/>
                        <w:widowControl/>
                        <w:numPr>
                          <w:ilvl w:val="0"/>
                          <w:numId w:val="12"/>
                        </w:numPr>
                        <w:spacing w:before="60" w:after="60"/>
                        <w:ind w:leftChars="0"/>
                        <w:jc w:val="left"/>
                        <w:rPr>
                          <w:rFonts w:ascii="Times New Roman" w:eastAsia="Times New Roman" w:hAnsi="Times New Roman"/>
                          <w:sz w:val="20"/>
                        </w:rPr>
                      </w:pPr>
                      <w:r w:rsidRPr="007E1F12">
                        <w:rPr>
                          <w:rFonts w:ascii="Times New Roman" w:eastAsia="Times New Roman" w:hAnsi="Times New Roman"/>
                          <w:sz w:val="20"/>
                        </w:rPr>
                        <w:t>Continue the discussion on the functionality needed for full migration started during Rel-17.</w:t>
                      </w:r>
                    </w:p>
                    <w:p w14:paraId="232E8F9A" w14:textId="77777777" w:rsidR="005361A0" w:rsidRPr="007E1F12" w:rsidRDefault="005361A0" w:rsidP="007E1F12">
                      <w:pPr>
                        <w:pStyle w:val="a9"/>
                        <w:widowControl/>
                        <w:numPr>
                          <w:ilvl w:val="0"/>
                          <w:numId w:val="12"/>
                        </w:numPr>
                        <w:spacing w:before="60" w:after="60"/>
                        <w:ind w:leftChars="0"/>
                        <w:jc w:val="left"/>
                        <w:rPr>
                          <w:rFonts w:ascii="Times New Roman" w:eastAsia="Times New Roman" w:hAnsi="Times New Roman"/>
                          <w:sz w:val="20"/>
                        </w:rPr>
                      </w:pPr>
                      <w:r w:rsidRPr="007E1F12">
                        <w:rPr>
                          <w:rFonts w:ascii="Times New Roman" w:eastAsia="Times New Roman" w:hAnsi="Times New Roman"/>
                          <w:sz w:val="20"/>
                        </w:rPr>
                        <w:t>Identify and converge on other enhancements related to this objective that are in RAN3-scope and should be supported during Rel-18.</w:t>
                      </w:r>
                    </w:p>
                    <w:p w14:paraId="73E478A1" w14:textId="042C1DD9" w:rsidR="005361A0" w:rsidRPr="007E1F12" w:rsidRDefault="005361A0" w:rsidP="007E1F12">
                      <w:pPr>
                        <w:pStyle w:val="a9"/>
                        <w:widowControl/>
                        <w:numPr>
                          <w:ilvl w:val="0"/>
                          <w:numId w:val="12"/>
                        </w:numPr>
                        <w:spacing w:before="60" w:after="60"/>
                        <w:ind w:leftChars="0"/>
                        <w:jc w:val="left"/>
                        <w:rPr>
                          <w:rFonts w:ascii="Times New Roman" w:eastAsia="Times New Roman" w:hAnsi="Times New Roman"/>
                          <w:sz w:val="20"/>
                        </w:rPr>
                      </w:pPr>
                      <w:r w:rsidRPr="007E1F12">
                        <w:rPr>
                          <w:rFonts w:ascii="Times New Roman" w:eastAsia="Times New Roman" w:hAnsi="Times New Roman"/>
                          <w:sz w:val="20"/>
                        </w:rPr>
                        <w:t xml:space="preserve">Discuss if topology adaptation in absence of </w:t>
                      </w:r>
                      <w:proofErr w:type="spellStart"/>
                      <w:r w:rsidRPr="007E1F12">
                        <w:rPr>
                          <w:rFonts w:ascii="Times New Roman" w:eastAsia="Times New Roman" w:hAnsi="Times New Roman"/>
                          <w:sz w:val="20"/>
                        </w:rPr>
                        <w:t>Xn</w:t>
                      </w:r>
                      <w:proofErr w:type="spellEnd"/>
                      <w:r w:rsidRPr="007E1F12">
                        <w:rPr>
                          <w:rFonts w:ascii="Times New Roman" w:eastAsia="Times New Roman" w:hAnsi="Times New Roman"/>
                          <w:sz w:val="20"/>
                        </w:rPr>
                        <w:t xml:space="preserve"> should be supported in Rel-18, and, if applicable, converge on the necessary enhancements.</w:t>
                      </w:r>
                    </w:p>
                  </w:txbxContent>
                </v:textbox>
                <w10:wrap type="topAndBottom"/>
              </v:shape>
            </w:pict>
          </mc:Fallback>
        </mc:AlternateContent>
      </w:r>
      <w:r w:rsidR="00B03810" w:rsidRPr="00B03810">
        <w:t xml:space="preserve">IAB full migration had already been discussed in </w:t>
      </w:r>
      <w:r w:rsidR="00A80B02">
        <w:t>R17</w:t>
      </w:r>
      <w:r w:rsidR="00E51135">
        <w:t xml:space="preserve">, in this contribution, we’d like to discuss the stage 2 procedure of full migration and identify the issues and possible solutions based on </w:t>
      </w:r>
      <w:r>
        <w:t>the history discussion and the following guidance in the work plan</w:t>
      </w:r>
      <w:r w:rsidR="00E51135">
        <w:t>.</w:t>
      </w:r>
    </w:p>
    <w:p w14:paraId="1350E9C0" w14:textId="4444DE36" w:rsidR="00B6745D" w:rsidRDefault="00800860" w:rsidP="00CD4C7B">
      <w:r>
        <w:t xml:space="preserve">For topology adaptation in absence of </w:t>
      </w:r>
      <w:proofErr w:type="spellStart"/>
      <w:r>
        <w:t>Xn</w:t>
      </w:r>
      <w:proofErr w:type="spellEnd"/>
      <w:r>
        <w:t xml:space="preserve">, we prefer to discuss it when the general procedure of full migration is clear and SA2 have a significant progress. </w:t>
      </w:r>
    </w:p>
    <w:p w14:paraId="210D8BB2" w14:textId="4C3AE40D" w:rsidR="00800860" w:rsidRDefault="00800860" w:rsidP="00CD4C7B">
      <w:r>
        <w:t>For group mobility during UE migration, we discussed it in a separate AI, i.e. AI 13.3.</w:t>
      </w:r>
    </w:p>
    <w:p w14:paraId="021F998B" w14:textId="40D78A67" w:rsidR="00800860" w:rsidRDefault="00755770" w:rsidP="00CD4C7B">
      <w:r>
        <w:t>In</w:t>
      </w:r>
      <w:r w:rsidR="00800860">
        <w:t xml:space="preserve"> this contribution, the following aspects are discussed.</w:t>
      </w:r>
    </w:p>
    <w:p w14:paraId="3A07BB18" w14:textId="236D84E1" w:rsidR="00800860" w:rsidRDefault="00800860" w:rsidP="00CD4C7B">
      <w:r>
        <w:t>- General stage 2 procedures</w:t>
      </w:r>
    </w:p>
    <w:p w14:paraId="3B8F60F0" w14:textId="5C8D4456" w:rsidR="00800860" w:rsidRPr="00B6745D" w:rsidRDefault="00800860" w:rsidP="00CD4C7B">
      <w:r>
        <w:t>- Issues for IAB-MT migration and DU migration</w:t>
      </w:r>
    </w:p>
    <w:p w14:paraId="479DA40B" w14:textId="77777777" w:rsidR="00CD4C7B" w:rsidRPr="006E13D1" w:rsidRDefault="00CD4C7B" w:rsidP="00CD4C7B">
      <w:pPr>
        <w:pStyle w:val="1"/>
      </w:pPr>
      <w:r w:rsidRPr="006E13D1">
        <w:t>2</w:t>
      </w:r>
      <w:r w:rsidRPr="006E13D1">
        <w:tab/>
      </w:r>
      <w:r w:rsidR="00972FD7">
        <w:t>Discussion</w:t>
      </w:r>
    </w:p>
    <w:p w14:paraId="05AB05FA" w14:textId="1531DECE" w:rsidR="00CD4C7B" w:rsidRPr="00ED1751" w:rsidRDefault="005F1BD4" w:rsidP="005F1BD4">
      <w:pPr>
        <w:pStyle w:val="2"/>
      </w:pPr>
      <w:bookmarkStart w:id="2" w:name="_Hlk109747344"/>
      <w:r>
        <w:t>2.1</w:t>
      </w:r>
      <w:r>
        <w:tab/>
      </w:r>
      <w:r w:rsidR="00D23014">
        <w:t xml:space="preserve">General </w:t>
      </w:r>
      <w:r w:rsidR="00800860">
        <w:t xml:space="preserve">stage 2 </w:t>
      </w:r>
      <w:r w:rsidR="00D23014">
        <w:t>procedures</w:t>
      </w:r>
    </w:p>
    <w:p w14:paraId="52A1DD91" w14:textId="1D8BAB94" w:rsidR="007E1F12" w:rsidRDefault="007E1F12" w:rsidP="004E6C01">
      <w:pPr>
        <w:rPr>
          <w:szCs w:val="21"/>
        </w:rPr>
      </w:pPr>
      <w:r>
        <w:rPr>
          <w:szCs w:val="21"/>
        </w:rPr>
        <w:t>In R17, RAN3 had agreed st2 procedure for inter-donor migration as follows</w:t>
      </w:r>
    </w:p>
    <w:p w14:paraId="766F8CDB" w14:textId="77777777" w:rsidR="007E1F12" w:rsidRPr="00D27383" w:rsidRDefault="007E1F12" w:rsidP="007E1F12">
      <w:pPr>
        <w:pStyle w:val="ab"/>
        <w:spacing w:before="0" w:beforeAutospacing="0" w:after="0" w:afterAutospacing="0"/>
        <w:rPr>
          <w:rFonts w:ascii="Calibri" w:hAnsi="Calibri"/>
          <w:color w:val="00B050"/>
          <w:sz w:val="20"/>
          <w:szCs w:val="18"/>
        </w:rPr>
      </w:pPr>
      <w:r w:rsidRPr="00D27383">
        <w:rPr>
          <w:rFonts w:ascii="Calibri" w:hAnsi="Calibri"/>
          <w:b/>
          <w:bCs/>
          <w:color w:val="00B050"/>
          <w:sz w:val="20"/>
          <w:szCs w:val="18"/>
        </w:rPr>
        <w:t>St2 procedure for the inter-donor migration to include the following phases:</w:t>
      </w:r>
    </w:p>
    <w:p w14:paraId="307BB362" w14:textId="785CB784" w:rsidR="007E1F12" w:rsidRPr="00D27383" w:rsidRDefault="007E1F12" w:rsidP="007E1F12">
      <w:pPr>
        <w:pStyle w:val="ab"/>
        <w:spacing w:before="0" w:beforeAutospacing="0" w:after="0" w:afterAutospacing="0"/>
        <w:rPr>
          <w:rFonts w:ascii="Calibri" w:hAnsi="Calibri"/>
          <w:color w:val="00B050"/>
          <w:sz w:val="20"/>
          <w:szCs w:val="18"/>
        </w:rPr>
      </w:pPr>
      <w:r w:rsidRPr="00D27383">
        <w:rPr>
          <w:rFonts w:ascii="Calibri" w:hAnsi="Calibri"/>
          <w:b/>
          <w:bCs/>
          <w:color w:val="00B050"/>
          <w:sz w:val="20"/>
          <w:szCs w:val="18"/>
        </w:rPr>
        <w:t xml:space="preserve">Phase 1: Serving cell change of the boundary IAB-MT using </w:t>
      </w:r>
      <w:proofErr w:type="spellStart"/>
      <w:r w:rsidRPr="00D27383">
        <w:rPr>
          <w:rFonts w:ascii="Calibri" w:hAnsi="Calibri"/>
          <w:b/>
          <w:bCs/>
          <w:color w:val="00B050"/>
          <w:sz w:val="20"/>
          <w:szCs w:val="18"/>
        </w:rPr>
        <w:t>Xn</w:t>
      </w:r>
      <w:proofErr w:type="spellEnd"/>
      <w:r w:rsidRPr="00D27383">
        <w:rPr>
          <w:rFonts w:ascii="Calibri" w:hAnsi="Calibri"/>
          <w:b/>
          <w:bCs/>
          <w:color w:val="00B050"/>
          <w:sz w:val="20"/>
          <w:szCs w:val="18"/>
        </w:rPr>
        <w:t xml:space="preserve"> handover. </w:t>
      </w:r>
    </w:p>
    <w:p w14:paraId="668AD08D" w14:textId="149D79F7" w:rsidR="007E1F12" w:rsidRDefault="007E1F12" w:rsidP="007E1F12">
      <w:pPr>
        <w:rPr>
          <w:szCs w:val="21"/>
        </w:rPr>
      </w:pPr>
      <w:r w:rsidRPr="00D27383">
        <w:rPr>
          <w:rFonts w:ascii="Calibri" w:hAnsi="Calibri"/>
          <w:b/>
          <w:bCs/>
          <w:color w:val="00B050"/>
          <w:szCs w:val="18"/>
        </w:rPr>
        <w:t>Phase 2: Migration of F1 transport path.</w:t>
      </w:r>
    </w:p>
    <w:p w14:paraId="070B6E5A" w14:textId="1AC4D0B0" w:rsidR="00EF2DFA" w:rsidRDefault="00A4298B" w:rsidP="004E6C01">
      <w:pPr>
        <w:rPr>
          <w:szCs w:val="21"/>
        </w:rPr>
      </w:pPr>
      <w:r>
        <w:rPr>
          <w:szCs w:val="21"/>
        </w:rPr>
        <w:t>However,</w:t>
      </w:r>
      <w:r w:rsidR="007E1F12">
        <w:rPr>
          <w:szCs w:val="21"/>
        </w:rPr>
        <w:t xml:space="preserve"> only partial migration is supported in R17, </w:t>
      </w:r>
      <w:r>
        <w:rPr>
          <w:szCs w:val="21"/>
        </w:rPr>
        <w:t xml:space="preserve">based on the st2 procedure for partial migration, </w:t>
      </w:r>
      <w:r w:rsidR="007304F5">
        <w:rPr>
          <w:szCs w:val="21"/>
        </w:rPr>
        <w:t>the following phases</w:t>
      </w:r>
      <w:r>
        <w:rPr>
          <w:szCs w:val="21"/>
        </w:rPr>
        <w:t xml:space="preserve"> can be considered for</w:t>
      </w:r>
      <w:r w:rsidR="00DA1CA9">
        <w:rPr>
          <w:szCs w:val="21"/>
        </w:rPr>
        <w:t xml:space="preserve"> IAB</w:t>
      </w:r>
      <w:r>
        <w:rPr>
          <w:szCs w:val="21"/>
        </w:rPr>
        <w:t xml:space="preserve"> full migration</w:t>
      </w:r>
      <w:r w:rsidR="007304F5">
        <w:rPr>
          <w:szCs w:val="21"/>
        </w:rPr>
        <w:t>:</w:t>
      </w:r>
    </w:p>
    <w:p w14:paraId="794EC25A" w14:textId="3B48305D" w:rsidR="007304F5" w:rsidRDefault="007304F5" w:rsidP="00800860">
      <w:pPr>
        <w:spacing w:after="120"/>
        <w:rPr>
          <w:szCs w:val="21"/>
        </w:rPr>
      </w:pPr>
      <w:r>
        <w:rPr>
          <w:szCs w:val="21"/>
        </w:rPr>
        <w:t>Phase 1, IAB-MT migration, using existing handover procedure.</w:t>
      </w:r>
    </w:p>
    <w:p w14:paraId="5B74350D" w14:textId="0F1FD733" w:rsidR="007304F5" w:rsidRDefault="007304F5" w:rsidP="00800860">
      <w:pPr>
        <w:spacing w:after="120"/>
        <w:rPr>
          <w:szCs w:val="21"/>
        </w:rPr>
      </w:pPr>
      <w:r>
        <w:rPr>
          <w:szCs w:val="21"/>
        </w:rPr>
        <w:t>Phase 2, IAB-DU migration, using two logical DUs to realize DU migration.</w:t>
      </w:r>
    </w:p>
    <w:p w14:paraId="711914F2" w14:textId="6ADBD8FA" w:rsidR="007304F5" w:rsidRDefault="007304F5" w:rsidP="00800860">
      <w:pPr>
        <w:spacing w:after="120"/>
        <w:rPr>
          <w:szCs w:val="21"/>
        </w:rPr>
      </w:pPr>
      <w:r>
        <w:rPr>
          <w:szCs w:val="21"/>
        </w:rPr>
        <w:lastRenderedPageBreak/>
        <w:t>Phase 3, UE migration, using group mobility to reduce signalling overhead.</w:t>
      </w:r>
    </w:p>
    <w:p w14:paraId="613B7B40" w14:textId="42F66D11" w:rsidR="007E4746" w:rsidRDefault="007E4746" w:rsidP="00800860">
      <w:pPr>
        <w:spacing w:after="120"/>
        <w:rPr>
          <w:b/>
          <w:szCs w:val="21"/>
        </w:rPr>
      </w:pPr>
      <w:r w:rsidRPr="007E4746">
        <w:rPr>
          <w:b/>
          <w:szCs w:val="21"/>
        </w:rPr>
        <w:t>Proposal 1</w:t>
      </w:r>
      <w:r w:rsidR="00DA1CA9">
        <w:rPr>
          <w:b/>
          <w:szCs w:val="21"/>
        </w:rPr>
        <w:t>, RAN3 agree the stage 2 procedure as follows for IAB full migration</w:t>
      </w:r>
    </w:p>
    <w:p w14:paraId="79C0FDEA" w14:textId="55CC58D7" w:rsidR="00BD5F05" w:rsidRPr="00BD5F05" w:rsidRDefault="00BD5F05" w:rsidP="00800860">
      <w:pPr>
        <w:spacing w:after="120"/>
        <w:rPr>
          <w:b/>
          <w:szCs w:val="21"/>
        </w:rPr>
      </w:pPr>
      <w:r w:rsidRPr="00BD5F05">
        <w:rPr>
          <w:b/>
          <w:szCs w:val="21"/>
        </w:rPr>
        <w:t>Phase 1, IAB-MT migration</w:t>
      </w:r>
    </w:p>
    <w:p w14:paraId="7BD9F39D" w14:textId="1B7906A6" w:rsidR="00BD5F05" w:rsidRPr="00BD5F05" w:rsidRDefault="00BD5F05" w:rsidP="00800860">
      <w:pPr>
        <w:spacing w:after="120"/>
        <w:rPr>
          <w:b/>
          <w:szCs w:val="21"/>
        </w:rPr>
      </w:pPr>
      <w:r w:rsidRPr="00BD5F05">
        <w:rPr>
          <w:b/>
          <w:szCs w:val="21"/>
        </w:rPr>
        <w:t>Phase 2, IAB-DU migration</w:t>
      </w:r>
    </w:p>
    <w:p w14:paraId="02C2FC9F" w14:textId="75A8D2B1" w:rsidR="00DA1CA9" w:rsidRPr="007E4746" w:rsidRDefault="00BD5F05" w:rsidP="00800860">
      <w:pPr>
        <w:spacing w:after="120"/>
        <w:rPr>
          <w:b/>
          <w:szCs w:val="21"/>
        </w:rPr>
      </w:pPr>
      <w:r w:rsidRPr="00BD5F05">
        <w:rPr>
          <w:b/>
          <w:szCs w:val="21"/>
        </w:rPr>
        <w:t>Phase 3, UE migration</w:t>
      </w:r>
    </w:p>
    <w:p w14:paraId="2464DC52" w14:textId="0B86BFAA" w:rsidR="007E1F12" w:rsidRDefault="007304F5" w:rsidP="004E6C01">
      <w:pPr>
        <w:rPr>
          <w:szCs w:val="21"/>
        </w:rPr>
      </w:pPr>
      <w:r>
        <w:rPr>
          <w:szCs w:val="21"/>
        </w:rPr>
        <w:t>Regarding how to implement two logical DUs, there’re two alternatives discussed in R17.</w:t>
      </w:r>
    </w:p>
    <w:p w14:paraId="7F2D2B92" w14:textId="77777777" w:rsidR="007304F5" w:rsidRPr="007304F5" w:rsidRDefault="007304F5" w:rsidP="00800860">
      <w:pPr>
        <w:spacing w:after="120"/>
        <w:rPr>
          <w:rFonts w:ascii="Calibri" w:hAnsi="Calibri"/>
          <w:b/>
          <w:bCs/>
          <w:color w:val="00B050"/>
          <w:szCs w:val="18"/>
        </w:rPr>
      </w:pPr>
      <w:r w:rsidRPr="007304F5">
        <w:rPr>
          <w:rFonts w:ascii="Calibri" w:hAnsi="Calibri"/>
          <w:b/>
          <w:bCs/>
          <w:color w:val="00B050"/>
          <w:szCs w:val="18"/>
        </w:rPr>
        <w:t>The following two implementation alternatives, which involve two logical IAB-DUs at the boundary IAB node, are to be further discussed in the scope of Full Migration:</w:t>
      </w:r>
    </w:p>
    <w:p w14:paraId="02ED76CE" w14:textId="77777777" w:rsidR="007304F5" w:rsidRPr="007304F5" w:rsidRDefault="007304F5" w:rsidP="00800860">
      <w:pPr>
        <w:spacing w:after="120"/>
        <w:rPr>
          <w:rFonts w:ascii="Calibri" w:hAnsi="Calibri"/>
          <w:b/>
          <w:bCs/>
          <w:color w:val="00B050"/>
          <w:szCs w:val="18"/>
        </w:rPr>
      </w:pPr>
      <w:r w:rsidRPr="007304F5">
        <w:rPr>
          <w:rFonts w:ascii="Calibri" w:hAnsi="Calibri"/>
          <w:b/>
          <w:bCs/>
          <w:color w:val="00B050"/>
          <w:szCs w:val="18"/>
        </w:rPr>
        <w:t>- Alt1: the two logical DUs use separate physical cell resources</w:t>
      </w:r>
    </w:p>
    <w:p w14:paraId="607E5812" w14:textId="6AF36C90" w:rsidR="007304F5" w:rsidRPr="007304F5" w:rsidRDefault="007304F5" w:rsidP="00800860">
      <w:pPr>
        <w:spacing w:after="120"/>
        <w:rPr>
          <w:rFonts w:ascii="Calibri" w:hAnsi="Calibri"/>
          <w:b/>
          <w:bCs/>
          <w:color w:val="00B050"/>
          <w:szCs w:val="18"/>
        </w:rPr>
      </w:pPr>
      <w:r w:rsidRPr="007304F5">
        <w:rPr>
          <w:rFonts w:ascii="Calibri" w:hAnsi="Calibri"/>
          <w:b/>
          <w:bCs/>
          <w:color w:val="00B050"/>
          <w:szCs w:val="18"/>
        </w:rPr>
        <w:t>- Alt2: the two logical DUs use the same physical cell resources</w:t>
      </w:r>
    </w:p>
    <w:p w14:paraId="58133354" w14:textId="5BBAD621" w:rsidR="007E1F12" w:rsidRDefault="007304F5" w:rsidP="004E6C01">
      <w:pPr>
        <w:rPr>
          <w:szCs w:val="21"/>
        </w:rPr>
      </w:pPr>
      <w:r>
        <w:rPr>
          <w:szCs w:val="21"/>
        </w:rPr>
        <w:t xml:space="preserve">According to the Reply LS from other WGs, we think alt 1 can be used as baseline, since it </w:t>
      </w:r>
      <w:r w:rsidR="00DA1CA9">
        <w:rPr>
          <w:szCs w:val="21"/>
        </w:rPr>
        <w:t xml:space="preserve">is feasible and </w:t>
      </w:r>
      <w:r>
        <w:rPr>
          <w:szCs w:val="21"/>
        </w:rPr>
        <w:t>will have less spec impact.</w:t>
      </w:r>
    </w:p>
    <w:p w14:paraId="1B61B08F" w14:textId="6FECA2BB" w:rsidR="007304F5" w:rsidRPr="007E4746" w:rsidRDefault="007304F5" w:rsidP="004E6C01">
      <w:pPr>
        <w:rPr>
          <w:b/>
          <w:szCs w:val="21"/>
        </w:rPr>
      </w:pPr>
      <w:r w:rsidRPr="007E4746">
        <w:rPr>
          <w:b/>
          <w:szCs w:val="21"/>
        </w:rPr>
        <w:t xml:space="preserve">Proposal </w:t>
      </w:r>
      <w:r w:rsidR="00BD5F05">
        <w:rPr>
          <w:b/>
          <w:szCs w:val="21"/>
        </w:rPr>
        <w:t>2</w:t>
      </w:r>
      <w:r w:rsidRPr="007E4746">
        <w:rPr>
          <w:b/>
          <w:szCs w:val="21"/>
        </w:rPr>
        <w:t xml:space="preserve">, </w:t>
      </w:r>
      <w:r w:rsidR="00800860">
        <w:rPr>
          <w:b/>
          <w:szCs w:val="21"/>
        </w:rPr>
        <w:t xml:space="preserve">RAN3 agree to use </w:t>
      </w:r>
      <w:r w:rsidR="007E4746">
        <w:rPr>
          <w:b/>
          <w:szCs w:val="21"/>
        </w:rPr>
        <w:t>alt 1</w:t>
      </w:r>
      <w:r w:rsidR="000904E9">
        <w:rPr>
          <w:b/>
          <w:szCs w:val="21"/>
        </w:rPr>
        <w:t xml:space="preserve"> (i.e. </w:t>
      </w:r>
      <w:r w:rsidR="000904E9" w:rsidRPr="000904E9">
        <w:rPr>
          <w:b/>
          <w:szCs w:val="21"/>
        </w:rPr>
        <w:t>two logical DUs use separate physical cell resources</w:t>
      </w:r>
      <w:r w:rsidR="000904E9">
        <w:rPr>
          <w:b/>
          <w:szCs w:val="21"/>
        </w:rPr>
        <w:t>)</w:t>
      </w:r>
      <w:r w:rsidR="007E4746">
        <w:rPr>
          <w:b/>
          <w:szCs w:val="21"/>
        </w:rPr>
        <w:t xml:space="preserve"> as baseline</w:t>
      </w:r>
      <w:r w:rsidR="000904E9">
        <w:rPr>
          <w:b/>
          <w:szCs w:val="21"/>
        </w:rPr>
        <w:t>.</w:t>
      </w:r>
    </w:p>
    <w:p w14:paraId="0425EDDB" w14:textId="27E55B73" w:rsidR="0013262A" w:rsidRDefault="007E4746" w:rsidP="004E6C01">
      <w:pPr>
        <w:rPr>
          <w:szCs w:val="21"/>
        </w:rPr>
      </w:pPr>
      <w:r>
        <w:rPr>
          <w:szCs w:val="21"/>
        </w:rPr>
        <w:t xml:space="preserve">For the detail stg2 procedure, we draw </w:t>
      </w:r>
      <w:r w:rsidR="0013262A">
        <w:rPr>
          <w:szCs w:val="21"/>
        </w:rPr>
        <w:t xml:space="preserve">a simple version of stage 2 in Figure 1 </w:t>
      </w:r>
      <w:r w:rsidR="00DA1CA9">
        <w:rPr>
          <w:szCs w:val="21"/>
        </w:rPr>
        <w:t>for</w:t>
      </w:r>
      <w:r w:rsidR="0013262A">
        <w:rPr>
          <w:szCs w:val="21"/>
        </w:rPr>
        <w:t xml:space="preserve"> discussion, in </w:t>
      </w:r>
      <w:r>
        <w:rPr>
          <w:szCs w:val="21"/>
        </w:rPr>
        <w:t xml:space="preserve">which </w:t>
      </w:r>
      <w:r w:rsidR="0013262A">
        <w:rPr>
          <w:szCs w:val="21"/>
        </w:rPr>
        <w:t xml:space="preserve">we </w:t>
      </w:r>
      <w:r>
        <w:rPr>
          <w:szCs w:val="21"/>
        </w:rPr>
        <w:t>only consider the single hop and skip the information exchange between IAB-donor-CU and IAB-donor-DU,</w:t>
      </w:r>
      <w:r w:rsidR="0013262A">
        <w:rPr>
          <w:szCs w:val="21"/>
        </w:rPr>
        <w:t xml:space="preserve"> just</w:t>
      </w:r>
      <w:r>
        <w:rPr>
          <w:szCs w:val="21"/>
        </w:rPr>
        <w:t xml:space="preserve"> to make it simpler at the beginning</w:t>
      </w:r>
      <w:r w:rsidR="0013262A">
        <w:rPr>
          <w:szCs w:val="21"/>
        </w:rPr>
        <w:t>. This procedure is based on our understanding of the whole procedure and the previous discussion</w:t>
      </w:r>
      <w:r w:rsidR="00DA1CA9">
        <w:rPr>
          <w:szCs w:val="21"/>
        </w:rPr>
        <w:t xml:space="preserve"> as well</w:t>
      </w:r>
      <w:r w:rsidR="0013262A">
        <w:rPr>
          <w:szCs w:val="21"/>
        </w:rPr>
        <w:t xml:space="preserve">, and we’d like to discuss the issues we </w:t>
      </w:r>
      <w:r w:rsidR="00DA1CA9">
        <w:rPr>
          <w:szCs w:val="21"/>
        </w:rPr>
        <w:t>identified</w:t>
      </w:r>
      <w:r w:rsidR="0013262A">
        <w:rPr>
          <w:szCs w:val="21"/>
        </w:rPr>
        <w:t xml:space="preserve"> based on the procedure.</w:t>
      </w:r>
    </w:p>
    <w:p w14:paraId="55A76A9A" w14:textId="77777777" w:rsidR="00800860" w:rsidRDefault="00BD5F05" w:rsidP="00800860">
      <w:pPr>
        <w:keepNext/>
        <w:jc w:val="center"/>
      </w:pPr>
      <w:r>
        <w:object w:dxaOrig="10711" w:dyaOrig="10341" w14:anchorId="52DCD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400.85pt" o:ole="">
            <v:imagedata r:id="rId8" o:title=""/>
          </v:shape>
          <o:OLEObject Type="Embed" ProgID="Visio.Drawing.15" ShapeID="_x0000_i1025" DrawAspect="Content" ObjectID="_1721559188" r:id="rId9"/>
        </w:object>
      </w:r>
    </w:p>
    <w:p w14:paraId="7E5701B0" w14:textId="7AF959CA" w:rsidR="00BD5F05" w:rsidRPr="00800860" w:rsidRDefault="00800860" w:rsidP="00800860">
      <w:pPr>
        <w:pStyle w:val="ac"/>
        <w:jc w:val="center"/>
        <w:rPr>
          <w:b/>
          <w:i w:val="0"/>
          <w:szCs w:val="21"/>
        </w:rPr>
      </w:pPr>
      <w:r w:rsidRPr="00800860">
        <w:rPr>
          <w:b/>
          <w:i w:val="0"/>
        </w:rPr>
        <w:t xml:space="preserve">Figure </w:t>
      </w:r>
      <w:r w:rsidRPr="00800860">
        <w:rPr>
          <w:b/>
          <w:i w:val="0"/>
        </w:rPr>
        <w:fldChar w:fldCharType="begin"/>
      </w:r>
      <w:r w:rsidRPr="00800860">
        <w:rPr>
          <w:b/>
          <w:i w:val="0"/>
        </w:rPr>
        <w:instrText xml:space="preserve"> SEQ Figure \* ARABIC </w:instrText>
      </w:r>
      <w:r w:rsidRPr="00800860">
        <w:rPr>
          <w:b/>
          <w:i w:val="0"/>
        </w:rPr>
        <w:fldChar w:fldCharType="separate"/>
      </w:r>
      <w:r w:rsidRPr="00800860">
        <w:rPr>
          <w:b/>
          <w:i w:val="0"/>
          <w:noProof/>
        </w:rPr>
        <w:t>1</w:t>
      </w:r>
      <w:r w:rsidRPr="00800860">
        <w:rPr>
          <w:b/>
          <w:i w:val="0"/>
        </w:rPr>
        <w:fldChar w:fldCharType="end"/>
      </w:r>
      <w:r>
        <w:rPr>
          <w:b/>
          <w:i w:val="0"/>
        </w:rPr>
        <w:t xml:space="preserve"> full migration procedure</w:t>
      </w:r>
    </w:p>
    <w:p w14:paraId="6AE8A649" w14:textId="77777777" w:rsidR="00BD5F05" w:rsidRDefault="00BD5F05" w:rsidP="00BD5F05">
      <w:pPr>
        <w:rPr>
          <w:szCs w:val="21"/>
        </w:rPr>
      </w:pPr>
    </w:p>
    <w:p w14:paraId="7A402757" w14:textId="77777777" w:rsidR="00BD5F05" w:rsidRDefault="00BD5F05" w:rsidP="00BD5F05">
      <w:pPr>
        <w:pStyle w:val="B1"/>
        <w:ind w:left="586"/>
        <w:rPr>
          <w:lang w:eastAsia="zh-CN"/>
        </w:rPr>
      </w:pPr>
      <w:r w:rsidRPr="00B10749">
        <w:rPr>
          <w:lang w:eastAsia="zh-CN"/>
        </w:rPr>
        <w:t>1. IAB-MT sends MEASUREMENT REORPT message to Source IAB-donor, if it is a mobile IAB</w:t>
      </w:r>
      <w:r>
        <w:rPr>
          <w:lang w:eastAsia="zh-CN"/>
        </w:rPr>
        <w:t>,</w:t>
      </w:r>
      <w:r w:rsidRPr="00B10749">
        <w:rPr>
          <w:lang w:eastAsia="zh-CN"/>
        </w:rPr>
        <w:t xml:space="preserve"> full migration</w:t>
      </w:r>
      <w:r>
        <w:rPr>
          <w:lang w:eastAsia="zh-CN"/>
        </w:rPr>
        <w:t xml:space="preserve"> should be performed</w:t>
      </w:r>
      <w:r w:rsidRPr="00B10749">
        <w:rPr>
          <w:lang w:eastAsia="zh-CN"/>
        </w:rPr>
        <w:t>.</w:t>
      </w:r>
    </w:p>
    <w:p w14:paraId="0A32394F" w14:textId="77777777" w:rsidR="00BD5F05" w:rsidRPr="00B10749" w:rsidRDefault="00BD5F05" w:rsidP="00BD5F05">
      <w:pPr>
        <w:pStyle w:val="B1"/>
        <w:ind w:left="586"/>
        <w:rPr>
          <w:lang w:eastAsia="zh-CN"/>
        </w:rPr>
      </w:pPr>
      <w:r w:rsidRPr="00B10749">
        <w:rPr>
          <w:lang w:eastAsia="zh-CN"/>
        </w:rPr>
        <w:t xml:space="preserve">2. The </w:t>
      </w:r>
      <w:r w:rsidRPr="00B10749">
        <w:t>source</w:t>
      </w:r>
      <w:r w:rsidRPr="00B10749">
        <w:rPr>
          <w:lang w:eastAsia="zh-CN"/>
        </w:rPr>
        <w:t xml:space="preserve"> IAB-donor sends a HANDOVER REQUEST</w:t>
      </w:r>
      <w:r w:rsidRPr="00B10749">
        <w:rPr>
          <w:i/>
          <w:lang w:eastAsia="zh-CN"/>
        </w:rPr>
        <w:t xml:space="preserve"> </w:t>
      </w:r>
      <w:r w:rsidRPr="00B10749">
        <w:rPr>
          <w:lang w:eastAsia="zh-CN"/>
        </w:rPr>
        <w:t xml:space="preserve">message to the target IAB-donor over the </w:t>
      </w:r>
      <w:proofErr w:type="spellStart"/>
      <w:r w:rsidRPr="00B10749">
        <w:rPr>
          <w:lang w:eastAsia="zh-CN"/>
        </w:rPr>
        <w:t>Xn</w:t>
      </w:r>
      <w:proofErr w:type="spellEnd"/>
      <w:r w:rsidRPr="00B10749">
        <w:rPr>
          <w:lang w:eastAsia="zh-CN"/>
        </w:rPr>
        <w:t xml:space="preserve"> interface. This</w:t>
      </w:r>
      <w:r w:rsidRPr="00B10749">
        <w:rPr>
          <w:i/>
          <w:lang w:eastAsia="zh-CN"/>
        </w:rPr>
        <w:t xml:space="preserve"> </w:t>
      </w:r>
      <w:r w:rsidRPr="00B10749">
        <w:rPr>
          <w:lang w:eastAsia="zh-CN"/>
        </w:rPr>
        <w:t>message may include the migrating IAB-node’s TNL address information in the RRC container.</w:t>
      </w:r>
    </w:p>
    <w:p w14:paraId="43CD3330" w14:textId="24F21B67" w:rsidR="00BD5F05" w:rsidRPr="00B10749" w:rsidRDefault="00BD5F05" w:rsidP="00BD5F05">
      <w:pPr>
        <w:pStyle w:val="B1"/>
        <w:ind w:left="586"/>
        <w:rPr>
          <w:lang w:eastAsia="zh-CN"/>
        </w:rPr>
      </w:pPr>
      <w:r w:rsidRPr="00B10749">
        <w:rPr>
          <w:lang w:eastAsia="zh-CN"/>
        </w:rPr>
        <w:t>3.</w:t>
      </w:r>
      <w:r w:rsidRPr="00B10749">
        <w:rPr>
          <w:lang w:eastAsia="zh-CN"/>
        </w:rPr>
        <w:tab/>
        <w:t xml:space="preserve">The target IAB-donor performs admission control and provides the new RRC configuration as part of the HANDOVER REQUEST ACKNOWLEDGE message. </w:t>
      </w:r>
    </w:p>
    <w:p w14:paraId="323187B6" w14:textId="77777777" w:rsidR="00BD5F05" w:rsidRDefault="00BD5F05" w:rsidP="00BD5F05">
      <w:pPr>
        <w:pStyle w:val="B1"/>
        <w:ind w:left="586"/>
        <w:rPr>
          <w:lang w:eastAsia="zh-CN"/>
        </w:rPr>
      </w:pPr>
      <w:r w:rsidRPr="00B10749">
        <w:rPr>
          <w:lang w:eastAsia="zh-CN"/>
        </w:rPr>
        <w:t>4.</w:t>
      </w:r>
      <w:r w:rsidRPr="00B10749">
        <w:rPr>
          <w:lang w:eastAsia="zh-CN"/>
        </w:rPr>
        <w:tab/>
        <w:t xml:space="preserve">The source IAB-donor sends </w:t>
      </w:r>
      <w:proofErr w:type="spellStart"/>
      <w:r w:rsidRPr="00B10749">
        <w:rPr>
          <w:i/>
          <w:lang w:eastAsia="zh-CN"/>
        </w:rPr>
        <w:t>RRCReconfiguration</w:t>
      </w:r>
      <w:proofErr w:type="spellEnd"/>
      <w:r w:rsidRPr="00B10749">
        <w:rPr>
          <w:lang w:eastAsia="zh-CN"/>
        </w:rPr>
        <w:t xml:space="preserve"> message to the mobile IAB-MT.</w:t>
      </w:r>
    </w:p>
    <w:p w14:paraId="313031B3" w14:textId="77777777" w:rsidR="00BD5F05" w:rsidRDefault="00BD5F05" w:rsidP="00BD5F05">
      <w:pPr>
        <w:pStyle w:val="B1"/>
        <w:ind w:left="586"/>
        <w:rPr>
          <w:lang w:eastAsia="zh-CN"/>
        </w:rPr>
      </w:pPr>
      <w:r w:rsidRPr="00B10749">
        <w:rPr>
          <w:lang w:eastAsia="zh-CN"/>
        </w:rPr>
        <w:t xml:space="preserve">5. </w:t>
      </w:r>
      <w:r>
        <w:rPr>
          <w:lang w:eastAsia="zh-CN"/>
        </w:rPr>
        <w:t xml:space="preserve"> </w:t>
      </w:r>
      <w:r w:rsidRPr="00B10749">
        <w:rPr>
          <w:lang w:eastAsia="zh-CN"/>
        </w:rPr>
        <w:t>Mobile IAB-node decide</w:t>
      </w:r>
      <w:r>
        <w:rPr>
          <w:lang w:eastAsia="zh-CN"/>
        </w:rPr>
        <w:t>s</w:t>
      </w:r>
      <w:r w:rsidRPr="00B10749">
        <w:rPr>
          <w:lang w:eastAsia="zh-CN"/>
        </w:rPr>
        <w:t xml:space="preserve"> to setup a new logical DU</w:t>
      </w:r>
      <w:r>
        <w:rPr>
          <w:lang w:eastAsia="zh-CN"/>
        </w:rPr>
        <w:t xml:space="preserve"> (i.e. IAB-DU2)</w:t>
      </w:r>
      <w:r w:rsidRPr="00B10749">
        <w:rPr>
          <w:lang w:eastAsia="zh-CN"/>
        </w:rPr>
        <w:t xml:space="preserve">, </w:t>
      </w:r>
      <w:r>
        <w:rPr>
          <w:lang w:eastAsia="zh-CN"/>
        </w:rPr>
        <w:t>interaction with OAM is up to</w:t>
      </w:r>
      <w:r w:rsidRPr="00B10749">
        <w:rPr>
          <w:lang w:eastAsia="zh-CN"/>
        </w:rPr>
        <w:t xml:space="preserve"> implementation</w:t>
      </w:r>
      <w:r>
        <w:rPr>
          <w:lang w:eastAsia="zh-CN"/>
        </w:rPr>
        <w:t xml:space="preserve"> via PDU session</w:t>
      </w:r>
      <w:r w:rsidRPr="00B10749">
        <w:rPr>
          <w:lang w:eastAsia="zh-CN"/>
        </w:rPr>
        <w:t>.</w:t>
      </w:r>
    </w:p>
    <w:p w14:paraId="20EF7F0A" w14:textId="00572E3C" w:rsidR="00BD5F05" w:rsidRPr="00B10749" w:rsidRDefault="00BD5F05" w:rsidP="00BD5F05">
      <w:pPr>
        <w:pStyle w:val="B1"/>
        <w:ind w:left="586"/>
        <w:rPr>
          <w:lang w:eastAsia="zh-CN"/>
        </w:rPr>
      </w:pPr>
      <w:r w:rsidRPr="00B10749">
        <w:rPr>
          <w:lang w:eastAsia="zh-CN"/>
        </w:rPr>
        <w:t>6</w:t>
      </w:r>
      <w:r>
        <w:rPr>
          <w:lang w:eastAsia="zh-CN"/>
        </w:rPr>
        <w:t>.</w:t>
      </w:r>
      <w:r w:rsidRPr="00B10749">
        <w:rPr>
          <w:lang w:eastAsia="zh-CN"/>
        </w:rPr>
        <w:tab/>
        <w:t xml:space="preserve">A random-access procedure is performed at the target </w:t>
      </w:r>
      <w:r>
        <w:rPr>
          <w:lang w:eastAsia="zh-CN"/>
        </w:rPr>
        <w:t>IAB-donor</w:t>
      </w:r>
      <w:r w:rsidRPr="00B10749">
        <w:rPr>
          <w:lang w:eastAsia="zh-CN"/>
        </w:rPr>
        <w:t>.</w:t>
      </w:r>
    </w:p>
    <w:p w14:paraId="1EE96266" w14:textId="77777777" w:rsidR="00BD5F05" w:rsidRPr="00B10749" w:rsidRDefault="00BD5F05" w:rsidP="00BD5F05">
      <w:pPr>
        <w:pStyle w:val="B1"/>
        <w:ind w:left="586"/>
        <w:rPr>
          <w:lang w:eastAsia="zh-CN"/>
        </w:rPr>
      </w:pPr>
      <w:r w:rsidRPr="00B10749">
        <w:rPr>
          <w:lang w:eastAsia="zh-CN"/>
        </w:rPr>
        <w:t>7.</w:t>
      </w:r>
      <w:r w:rsidRPr="00B10749">
        <w:rPr>
          <w:lang w:eastAsia="zh-CN"/>
        </w:rPr>
        <w:tab/>
        <w:t xml:space="preserve">The mobile IAB-MT responds to the target IAB-donor with an </w:t>
      </w:r>
      <w:proofErr w:type="spellStart"/>
      <w:r w:rsidRPr="00B10749">
        <w:rPr>
          <w:i/>
          <w:iCs/>
          <w:lang w:eastAsia="zh-CN"/>
        </w:rPr>
        <w:t>RRCReconfigurationComplete</w:t>
      </w:r>
      <w:proofErr w:type="spellEnd"/>
      <w:r w:rsidRPr="00B10749">
        <w:rPr>
          <w:lang w:eastAsia="zh-CN"/>
        </w:rPr>
        <w:t xml:space="preserve"> message. </w:t>
      </w:r>
      <w:r>
        <w:rPr>
          <w:lang w:eastAsia="zh-CN"/>
        </w:rPr>
        <w:t>Target IAB-donor perform path switch for the IAB-MT.</w:t>
      </w:r>
    </w:p>
    <w:p w14:paraId="7A70ACA2" w14:textId="77777777" w:rsidR="00BD5F05" w:rsidRPr="00B10749" w:rsidRDefault="00BD5F05" w:rsidP="00BD5F05">
      <w:pPr>
        <w:pStyle w:val="B1"/>
        <w:ind w:left="586"/>
        <w:rPr>
          <w:lang w:eastAsia="zh-CN"/>
        </w:rPr>
      </w:pPr>
      <w:r w:rsidRPr="00B10749">
        <w:rPr>
          <w:lang w:eastAsia="zh-CN"/>
        </w:rPr>
        <w:t xml:space="preserve">8. </w:t>
      </w:r>
      <w:r>
        <w:rPr>
          <w:lang w:eastAsia="zh-CN"/>
        </w:rPr>
        <w:t xml:space="preserve"> </w:t>
      </w:r>
      <w:r w:rsidRPr="00B10749">
        <w:rPr>
          <w:lang w:eastAsia="zh-CN"/>
        </w:rPr>
        <w:t>IAB</w:t>
      </w:r>
      <w:r>
        <w:rPr>
          <w:lang w:eastAsia="zh-CN"/>
        </w:rPr>
        <w:t>-</w:t>
      </w:r>
      <w:r w:rsidRPr="00B10749">
        <w:rPr>
          <w:lang w:eastAsia="zh-CN"/>
        </w:rPr>
        <w:t xml:space="preserve">DU2 sends F1 SETUP REQUEST message to </w:t>
      </w:r>
      <w:r>
        <w:rPr>
          <w:lang w:eastAsia="zh-CN"/>
        </w:rPr>
        <w:t>establish</w:t>
      </w:r>
      <w:r w:rsidRPr="00B10749">
        <w:rPr>
          <w:lang w:eastAsia="zh-CN"/>
        </w:rPr>
        <w:t xml:space="preserve"> new F1 with Target IAB-donor.</w:t>
      </w:r>
      <w:r>
        <w:rPr>
          <w:lang w:eastAsia="zh-CN"/>
        </w:rPr>
        <w:t xml:space="preserve"> </w:t>
      </w:r>
    </w:p>
    <w:p w14:paraId="4F9BAAED" w14:textId="77777777" w:rsidR="00BD5F05" w:rsidRPr="00B10749" w:rsidRDefault="00BD5F05" w:rsidP="00BD5F05">
      <w:pPr>
        <w:pStyle w:val="B1"/>
        <w:ind w:left="586"/>
        <w:rPr>
          <w:lang w:eastAsia="zh-CN"/>
        </w:rPr>
      </w:pPr>
      <w:r w:rsidRPr="00B10749">
        <w:rPr>
          <w:lang w:eastAsia="zh-CN"/>
        </w:rPr>
        <w:t>9.  Target IAB-donor sends F1 SETUP RESPONSE message to IAB-</w:t>
      </w:r>
      <w:r>
        <w:rPr>
          <w:lang w:eastAsia="zh-CN"/>
        </w:rPr>
        <w:t>DU2,</w:t>
      </w:r>
      <w:r w:rsidRPr="009F658F">
        <w:rPr>
          <w:lang w:eastAsia="zh-CN"/>
        </w:rPr>
        <w:t xml:space="preserve"> </w:t>
      </w:r>
      <w:r>
        <w:rPr>
          <w:lang w:eastAsia="zh-CN"/>
        </w:rPr>
        <w:t>the Target IAB-donor may update the NCI of cells in IAB-DU2.</w:t>
      </w:r>
    </w:p>
    <w:p w14:paraId="21F92B7A" w14:textId="77777777" w:rsidR="00BD5F05" w:rsidRPr="00324EDB" w:rsidRDefault="00BD5F05" w:rsidP="00BD5F05">
      <w:pPr>
        <w:pStyle w:val="B1"/>
        <w:ind w:left="586"/>
        <w:rPr>
          <w:lang w:eastAsia="zh-CN"/>
        </w:rPr>
      </w:pPr>
      <w:r w:rsidRPr="00324EDB">
        <w:rPr>
          <w:lang w:eastAsia="zh-CN"/>
        </w:rPr>
        <w:t>10. Initiation of UE migration.</w:t>
      </w:r>
    </w:p>
    <w:p w14:paraId="6F05B7F1" w14:textId="77777777" w:rsidR="00BD5F05" w:rsidRPr="00B10749" w:rsidRDefault="00BD5F05" w:rsidP="00BD5F05">
      <w:pPr>
        <w:pStyle w:val="B1"/>
        <w:ind w:left="586"/>
        <w:rPr>
          <w:lang w:eastAsia="zh-CN"/>
        </w:rPr>
      </w:pPr>
      <w:r w:rsidRPr="00B10749">
        <w:rPr>
          <w:lang w:eastAsia="zh-CN"/>
        </w:rPr>
        <w:t>11. Source IAB-donor sends GROUP HANDOVER REQUEST message to Target IAB-donor.</w:t>
      </w:r>
    </w:p>
    <w:p w14:paraId="496E8379" w14:textId="77777777" w:rsidR="00BD5F05" w:rsidRPr="00B10749" w:rsidRDefault="00BD5F05" w:rsidP="00BD5F05">
      <w:pPr>
        <w:pStyle w:val="B1"/>
        <w:ind w:left="586"/>
        <w:rPr>
          <w:lang w:eastAsia="zh-CN"/>
        </w:rPr>
      </w:pPr>
      <w:r w:rsidRPr="00B10749">
        <w:rPr>
          <w:lang w:eastAsia="zh-CN"/>
        </w:rPr>
        <w:t xml:space="preserve">12. Target IAB-donor sends GROUP HANDOVER REQUEST ACK message to Source IAB-donor, and provides the </w:t>
      </w:r>
      <w:r w:rsidRPr="00BD5F05">
        <w:rPr>
          <w:lang w:eastAsia="zh-CN"/>
        </w:rPr>
        <w:t>new group RRC configuration</w:t>
      </w:r>
      <w:r w:rsidRPr="00B10749">
        <w:rPr>
          <w:lang w:eastAsia="zh-CN"/>
        </w:rPr>
        <w:t xml:space="preserve"> as part of the HANDOVER REQUEST ACKNOWLEDGE message.</w:t>
      </w:r>
    </w:p>
    <w:p w14:paraId="2FB69A97" w14:textId="77777777" w:rsidR="00BD5F05" w:rsidRPr="00B10749" w:rsidRDefault="00BD5F05" w:rsidP="00BD5F05">
      <w:pPr>
        <w:pStyle w:val="B1"/>
        <w:ind w:left="586"/>
        <w:rPr>
          <w:lang w:eastAsia="zh-CN"/>
        </w:rPr>
      </w:pPr>
      <w:r w:rsidRPr="00B10749">
        <w:rPr>
          <w:lang w:eastAsia="zh-CN"/>
        </w:rPr>
        <w:t>13.  Source IAB-donor sends a new F1AP message (e.g. maybe DL RRC TRANSFER message) including GROUP RRC RECONFIGURATION message to DU1.</w:t>
      </w:r>
    </w:p>
    <w:p w14:paraId="0B556056" w14:textId="77777777" w:rsidR="00BD5F05" w:rsidRPr="00B10749" w:rsidRDefault="00BD5F05" w:rsidP="00BD5F05">
      <w:pPr>
        <w:pStyle w:val="B1"/>
        <w:ind w:left="586"/>
        <w:rPr>
          <w:lang w:eastAsia="zh-CN"/>
        </w:rPr>
      </w:pPr>
      <w:r w:rsidRPr="00B10749">
        <w:rPr>
          <w:lang w:eastAsia="zh-CN"/>
        </w:rPr>
        <w:t>14. The IAB-DU1 sends the GROUP RRC RECONFIGURATION message to the UEs.</w:t>
      </w:r>
    </w:p>
    <w:p w14:paraId="655D6FAC" w14:textId="77777777" w:rsidR="00BD5F05" w:rsidRPr="00B10749" w:rsidRDefault="00BD5F05" w:rsidP="00BD5F05">
      <w:pPr>
        <w:pStyle w:val="B1"/>
        <w:ind w:left="586"/>
        <w:rPr>
          <w:lang w:eastAsia="zh-CN"/>
        </w:rPr>
      </w:pPr>
      <w:r w:rsidRPr="00B10749">
        <w:rPr>
          <w:lang w:eastAsia="zh-CN"/>
        </w:rPr>
        <w:t xml:space="preserve">15. UEs </w:t>
      </w:r>
      <w:r>
        <w:rPr>
          <w:lang w:eastAsia="zh-CN"/>
        </w:rPr>
        <w:t>served by the</w:t>
      </w:r>
      <w:r w:rsidRPr="00B10749">
        <w:rPr>
          <w:lang w:eastAsia="zh-CN"/>
        </w:rPr>
        <w:t xml:space="preserve"> IAB-node performs handover (maybe RACH-less), send the e.g. RRC Reconfiguration Complete message to mobile IAB-DU2</w:t>
      </w:r>
      <w:r>
        <w:rPr>
          <w:lang w:eastAsia="zh-CN"/>
        </w:rPr>
        <w:t>.</w:t>
      </w:r>
      <w:r w:rsidRPr="00B10749">
        <w:rPr>
          <w:lang w:eastAsia="zh-CN"/>
        </w:rPr>
        <w:t xml:space="preserve"> </w:t>
      </w:r>
    </w:p>
    <w:p w14:paraId="4C920EAC" w14:textId="77777777" w:rsidR="00BD5F05" w:rsidRPr="00B10749" w:rsidRDefault="00BD5F05" w:rsidP="00BD5F05">
      <w:pPr>
        <w:pStyle w:val="B1"/>
        <w:ind w:left="586"/>
        <w:rPr>
          <w:lang w:eastAsia="zh-CN"/>
        </w:rPr>
      </w:pPr>
      <w:r w:rsidRPr="00B10749">
        <w:rPr>
          <w:lang w:eastAsia="zh-CN"/>
        </w:rPr>
        <w:t xml:space="preserve">16. Mobile IAB-DU2 sends UL RRC TRANSFER message including RRC Reconfiguration Complete message to Target IAB-donor, when all the UE is </w:t>
      </w:r>
      <w:r>
        <w:rPr>
          <w:lang w:eastAsia="zh-CN"/>
        </w:rPr>
        <w:t>confirmed</w:t>
      </w:r>
      <w:r w:rsidRPr="00B10749">
        <w:rPr>
          <w:lang w:eastAsia="zh-CN"/>
        </w:rPr>
        <w:t xml:space="preserve"> to access the IAB-DU2, target IAB-donor send GROUP PATH SWITCH</w:t>
      </w:r>
      <w:r>
        <w:rPr>
          <w:lang w:eastAsia="zh-CN"/>
        </w:rPr>
        <w:t xml:space="preserve"> per group or PATH SWITCH per UE</w:t>
      </w:r>
      <w:r w:rsidRPr="00B10749">
        <w:rPr>
          <w:lang w:eastAsia="zh-CN"/>
        </w:rPr>
        <w:t xml:space="preserve"> message to the Core Network.</w:t>
      </w:r>
    </w:p>
    <w:p w14:paraId="733EFF81" w14:textId="56EF4915" w:rsidR="00BD5F05" w:rsidRPr="00BD5F05" w:rsidRDefault="00BD5F05" w:rsidP="00BD5F05">
      <w:pPr>
        <w:pStyle w:val="B1"/>
        <w:ind w:left="586"/>
        <w:rPr>
          <w:lang w:eastAsia="zh-CN"/>
        </w:rPr>
      </w:pPr>
      <w:r w:rsidRPr="00B10749">
        <w:rPr>
          <w:lang w:eastAsia="zh-CN"/>
        </w:rPr>
        <w:t>17.</w:t>
      </w:r>
      <w:r w:rsidRPr="00B10749">
        <w:rPr>
          <w:lang w:eastAsia="zh-CN"/>
        </w:rPr>
        <w:tab/>
        <w:t>The target IAB</w:t>
      </w:r>
      <w:r w:rsidRPr="00B10749">
        <w:rPr>
          <w:i/>
          <w:lang w:eastAsia="zh-CN"/>
        </w:rPr>
        <w:t>-</w:t>
      </w:r>
      <w:r w:rsidRPr="00B10749">
        <w:rPr>
          <w:lang w:eastAsia="zh-CN"/>
        </w:rPr>
        <w:t xml:space="preserve">donor sends </w:t>
      </w:r>
      <w:r w:rsidR="00755770">
        <w:rPr>
          <w:lang w:eastAsia="zh-CN"/>
        </w:rPr>
        <w:t xml:space="preserve">Group </w:t>
      </w:r>
      <w:r w:rsidRPr="00B10749">
        <w:rPr>
          <w:lang w:eastAsia="zh-CN"/>
        </w:rPr>
        <w:t>UE CONTEXT RELEASE message to the source IAB-donor, then source IAB-donor initiate F1 release with IAB-DU1, BH Release and UE context release.</w:t>
      </w:r>
    </w:p>
    <w:p w14:paraId="28013452" w14:textId="63F504B6" w:rsidR="00BD5F05" w:rsidRPr="00BD5F05" w:rsidRDefault="00BD5F05" w:rsidP="00BD5F05">
      <w:pPr>
        <w:pStyle w:val="2"/>
      </w:pPr>
      <w:r>
        <w:t>2.2</w:t>
      </w:r>
      <w:r>
        <w:tab/>
        <w:t>Issues for IAB-MT migration and DU migration</w:t>
      </w:r>
    </w:p>
    <w:p w14:paraId="6687B8D8" w14:textId="467C421D" w:rsidR="00370F20" w:rsidRPr="00697E26" w:rsidRDefault="00697E26" w:rsidP="004E6C01">
      <w:pPr>
        <w:rPr>
          <w:b/>
          <w:szCs w:val="21"/>
          <w:u w:val="single"/>
        </w:rPr>
      </w:pPr>
      <w:r>
        <w:rPr>
          <w:b/>
          <w:szCs w:val="21"/>
          <w:u w:val="single"/>
        </w:rPr>
        <w:t xml:space="preserve">Phase 1, </w:t>
      </w:r>
      <w:r w:rsidR="00370F20" w:rsidRPr="00697E26">
        <w:rPr>
          <w:b/>
          <w:szCs w:val="21"/>
          <w:u w:val="single"/>
        </w:rPr>
        <w:t>IAB-MT migration</w:t>
      </w:r>
    </w:p>
    <w:p w14:paraId="30F6DE70" w14:textId="7E0EE55D" w:rsidR="00697E26" w:rsidRPr="00697E26" w:rsidRDefault="00697E26" w:rsidP="004E6C01">
      <w:pPr>
        <w:rPr>
          <w:i/>
          <w:szCs w:val="21"/>
          <w:u w:val="single"/>
        </w:rPr>
      </w:pPr>
      <w:r w:rsidRPr="00697E26">
        <w:rPr>
          <w:i/>
          <w:szCs w:val="21"/>
          <w:u w:val="single"/>
        </w:rPr>
        <w:t>Issue 1,</w:t>
      </w:r>
      <w:r w:rsidR="00DA1CA9">
        <w:rPr>
          <w:i/>
          <w:szCs w:val="21"/>
          <w:u w:val="single"/>
        </w:rPr>
        <w:t xml:space="preserve"> whether and</w:t>
      </w:r>
      <w:r w:rsidRPr="00697E26">
        <w:rPr>
          <w:i/>
          <w:szCs w:val="21"/>
          <w:u w:val="single"/>
        </w:rPr>
        <w:t xml:space="preserve"> how the target IAB-donor be aware of the full migration?</w:t>
      </w:r>
    </w:p>
    <w:p w14:paraId="5EFFA8B0" w14:textId="0565C102" w:rsidR="0013262A" w:rsidRDefault="0013262A" w:rsidP="004E6C01">
      <w:pPr>
        <w:rPr>
          <w:szCs w:val="21"/>
        </w:rPr>
      </w:pPr>
      <w:r>
        <w:rPr>
          <w:szCs w:val="21"/>
        </w:rPr>
        <w:t xml:space="preserve">Step 1 to 7 is for IAB-MT migration, as shown in Figure 1, the stage2 procedure start with legacy UE handover procedure. For partial migration, the target IAB-donor can know the UE is an IAB-node according the </w:t>
      </w:r>
      <w:r w:rsidRPr="0013262A">
        <w:rPr>
          <w:i/>
          <w:szCs w:val="21"/>
        </w:rPr>
        <w:t>No PDU Session Indication</w:t>
      </w:r>
      <w:r w:rsidRPr="0013262A">
        <w:rPr>
          <w:szCs w:val="21"/>
        </w:rPr>
        <w:t xml:space="preserve"> IE</w:t>
      </w:r>
      <w:r>
        <w:rPr>
          <w:szCs w:val="21"/>
        </w:rPr>
        <w:t xml:space="preserve">, but the target </w:t>
      </w:r>
      <w:r w:rsidRPr="0013262A">
        <w:rPr>
          <w:szCs w:val="21"/>
        </w:rPr>
        <w:t xml:space="preserve">IAB-donor </w:t>
      </w:r>
      <w:r>
        <w:rPr>
          <w:szCs w:val="21"/>
        </w:rPr>
        <w:t xml:space="preserve">cannot know whether it’s a mobile IAB node or a fixed IAB node. In our understanding, the target IAB-donor should be aware of whether the IAB-node is for full migration or partial migration, because it will perform the admission control differently for different kinds of migration. </w:t>
      </w:r>
      <w:r w:rsidR="00DA1CA9">
        <w:rPr>
          <w:szCs w:val="21"/>
        </w:rPr>
        <w:t>If the target IAB-donor need to</w:t>
      </w:r>
      <w:r w:rsidR="00D82770">
        <w:rPr>
          <w:szCs w:val="21"/>
        </w:rPr>
        <w:t xml:space="preserve"> be aware of the migration type, there’re two options:</w:t>
      </w:r>
    </w:p>
    <w:p w14:paraId="5D0D9293" w14:textId="1E2171E5" w:rsidR="00D82770" w:rsidRPr="00D82770" w:rsidRDefault="00D82770" w:rsidP="00D82770">
      <w:pPr>
        <w:pStyle w:val="a9"/>
        <w:numPr>
          <w:ilvl w:val="0"/>
          <w:numId w:val="13"/>
        </w:numPr>
        <w:ind w:leftChars="0"/>
        <w:rPr>
          <w:rFonts w:ascii="Times New Roman" w:hAnsi="Times New Roman"/>
          <w:szCs w:val="21"/>
        </w:rPr>
      </w:pPr>
      <w:r w:rsidRPr="00D82770">
        <w:rPr>
          <w:rFonts w:ascii="Times New Roman" w:hAnsi="Times New Roman"/>
          <w:szCs w:val="21"/>
        </w:rPr>
        <w:t>Option 1, by specific mobile IAB ID</w:t>
      </w:r>
      <w:r w:rsidR="00DA1CA9">
        <w:rPr>
          <w:rFonts w:ascii="Times New Roman" w:hAnsi="Times New Roman"/>
          <w:szCs w:val="21"/>
        </w:rPr>
        <w:t>, this may need to coordinate with SA2</w:t>
      </w:r>
    </w:p>
    <w:p w14:paraId="40AE67D2" w14:textId="34D38990" w:rsidR="00D82770" w:rsidRDefault="00D82770" w:rsidP="00D82770">
      <w:pPr>
        <w:pStyle w:val="a9"/>
        <w:numPr>
          <w:ilvl w:val="0"/>
          <w:numId w:val="13"/>
        </w:numPr>
        <w:ind w:leftChars="0"/>
        <w:rPr>
          <w:rFonts w:ascii="Times New Roman" w:hAnsi="Times New Roman"/>
          <w:szCs w:val="21"/>
        </w:rPr>
      </w:pPr>
      <w:r w:rsidRPr="00D82770">
        <w:rPr>
          <w:rFonts w:ascii="Times New Roman" w:hAnsi="Times New Roman"/>
          <w:szCs w:val="21"/>
        </w:rPr>
        <w:t xml:space="preserve">Option 2, by </w:t>
      </w:r>
      <w:r w:rsidR="00DA1CA9">
        <w:rPr>
          <w:rFonts w:ascii="Times New Roman" w:hAnsi="Times New Roman"/>
          <w:szCs w:val="21"/>
        </w:rPr>
        <w:t>additional</w:t>
      </w:r>
      <w:r w:rsidRPr="00D82770">
        <w:rPr>
          <w:rFonts w:ascii="Times New Roman" w:hAnsi="Times New Roman"/>
          <w:szCs w:val="21"/>
        </w:rPr>
        <w:t xml:space="preserve"> info only for </w:t>
      </w:r>
      <w:r w:rsidR="00DA1CA9">
        <w:rPr>
          <w:rFonts w:ascii="Times New Roman" w:hAnsi="Times New Roman"/>
          <w:szCs w:val="21"/>
        </w:rPr>
        <w:t>full migration, RAN3 can further discuss the different action</w:t>
      </w:r>
      <w:r w:rsidR="00755770">
        <w:rPr>
          <w:rFonts w:ascii="Times New Roman" w:hAnsi="Times New Roman"/>
          <w:szCs w:val="21"/>
        </w:rPr>
        <w:t>s</w:t>
      </w:r>
      <w:r w:rsidR="00DA1CA9">
        <w:rPr>
          <w:rFonts w:ascii="Times New Roman" w:hAnsi="Times New Roman"/>
          <w:szCs w:val="21"/>
        </w:rPr>
        <w:t xml:space="preserve"> of the target IAB-donor for full migration and partial migration.</w:t>
      </w:r>
    </w:p>
    <w:p w14:paraId="012A785B" w14:textId="2AEDBDDB" w:rsidR="00D82770" w:rsidRPr="00D82770" w:rsidRDefault="00D82770" w:rsidP="00D82770">
      <w:pPr>
        <w:pStyle w:val="a9"/>
        <w:ind w:leftChars="0" w:left="720"/>
        <w:rPr>
          <w:rFonts w:ascii="Times New Roman" w:hAnsi="Times New Roman"/>
          <w:szCs w:val="21"/>
        </w:rPr>
      </w:pPr>
    </w:p>
    <w:p w14:paraId="63460BF7" w14:textId="0DE29A16" w:rsidR="00DA1CA9" w:rsidRDefault="00DA1CA9" w:rsidP="004E6C01">
      <w:pPr>
        <w:rPr>
          <w:b/>
          <w:szCs w:val="21"/>
        </w:rPr>
      </w:pPr>
      <w:r>
        <w:rPr>
          <w:b/>
          <w:szCs w:val="21"/>
        </w:rPr>
        <w:lastRenderedPageBreak/>
        <w:t>Observation</w:t>
      </w:r>
      <w:r w:rsidR="00BD5F05">
        <w:rPr>
          <w:b/>
          <w:szCs w:val="21"/>
        </w:rPr>
        <w:t xml:space="preserve"> 1</w:t>
      </w:r>
      <w:r>
        <w:rPr>
          <w:b/>
          <w:szCs w:val="21"/>
        </w:rPr>
        <w:t>, target IAB-donor will act differently for full migration and partial migration.</w:t>
      </w:r>
    </w:p>
    <w:p w14:paraId="6E19BB9F" w14:textId="31E21907" w:rsidR="00E0084C" w:rsidRDefault="00E0084C" w:rsidP="004E6C01">
      <w:pPr>
        <w:rPr>
          <w:b/>
          <w:szCs w:val="21"/>
        </w:rPr>
      </w:pPr>
      <w:r w:rsidRPr="00E0084C">
        <w:rPr>
          <w:b/>
          <w:szCs w:val="21"/>
        </w:rPr>
        <w:t>Proposal</w:t>
      </w:r>
      <w:r w:rsidR="00BD5F05">
        <w:rPr>
          <w:b/>
          <w:szCs w:val="21"/>
        </w:rPr>
        <w:t xml:space="preserve"> 3</w:t>
      </w:r>
      <w:r w:rsidRPr="00E0084C">
        <w:rPr>
          <w:b/>
          <w:szCs w:val="21"/>
        </w:rPr>
        <w:t>, RAN3 discuss how the target IAB-donor be aware of the IAB-node migration type.</w:t>
      </w:r>
    </w:p>
    <w:p w14:paraId="4B6DA92B" w14:textId="2908F1C3" w:rsidR="00E0084C" w:rsidRDefault="00E0084C" w:rsidP="004E6C01">
      <w:pPr>
        <w:rPr>
          <w:szCs w:val="21"/>
        </w:rPr>
      </w:pPr>
      <w:r w:rsidRPr="00D82770">
        <w:rPr>
          <w:szCs w:val="21"/>
        </w:rPr>
        <w:t xml:space="preserve">For partial migration, </w:t>
      </w:r>
      <w:r w:rsidR="00D82770" w:rsidRPr="00D82770">
        <w:rPr>
          <w:szCs w:val="21"/>
        </w:rPr>
        <w:t>the context</w:t>
      </w:r>
      <w:r w:rsidR="00755770">
        <w:rPr>
          <w:szCs w:val="21"/>
        </w:rPr>
        <w:t>s</w:t>
      </w:r>
      <w:r w:rsidR="00D82770" w:rsidRPr="00D82770">
        <w:rPr>
          <w:szCs w:val="21"/>
        </w:rPr>
        <w:t xml:space="preserve"> </w:t>
      </w:r>
      <w:r w:rsidR="00BD5F05">
        <w:rPr>
          <w:szCs w:val="21"/>
        </w:rPr>
        <w:t>of the UE</w:t>
      </w:r>
      <w:r w:rsidR="00755770">
        <w:rPr>
          <w:szCs w:val="21"/>
        </w:rPr>
        <w:t>s</w:t>
      </w:r>
      <w:r w:rsidR="00BD5F05">
        <w:rPr>
          <w:szCs w:val="21"/>
        </w:rPr>
        <w:t xml:space="preserve"> </w:t>
      </w:r>
      <w:r w:rsidR="00D82770" w:rsidRPr="00D82770">
        <w:rPr>
          <w:szCs w:val="21"/>
        </w:rPr>
        <w:t xml:space="preserve">served by the IAB-node will not be migrated, </w:t>
      </w:r>
      <w:r w:rsidRPr="00D82770">
        <w:rPr>
          <w:szCs w:val="21"/>
        </w:rPr>
        <w:t xml:space="preserve">only the traffics </w:t>
      </w:r>
      <w:r w:rsidR="00BD5F05">
        <w:rPr>
          <w:szCs w:val="21"/>
        </w:rPr>
        <w:t>may</w:t>
      </w:r>
      <w:r w:rsidR="00D82770">
        <w:rPr>
          <w:szCs w:val="21"/>
        </w:rPr>
        <w:t xml:space="preserve"> be </w:t>
      </w:r>
      <w:r w:rsidRPr="00D82770">
        <w:rPr>
          <w:szCs w:val="21"/>
        </w:rPr>
        <w:t xml:space="preserve">offloaded to the non-F1-terminating donor, the traffic negotiation can be performed after IAB-MT handover preparation procedure, </w:t>
      </w:r>
      <w:r w:rsidR="00D82770" w:rsidRPr="00D82770">
        <w:rPr>
          <w:szCs w:val="21"/>
        </w:rPr>
        <w:t xml:space="preserve">while for full migration, the target IAB-donor should be aware of the UE migration at the very beginning, as this relates to </w:t>
      </w:r>
      <w:r w:rsidR="00D82770">
        <w:rPr>
          <w:szCs w:val="21"/>
        </w:rPr>
        <w:t xml:space="preserve">admission control for the IAB-node along with its served UEs (i.e. group admission control), </w:t>
      </w:r>
      <w:r w:rsidR="00776271">
        <w:rPr>
          <w:szCs w:val="21"/>
        </w:rPr>
        <w:t xml:space="preserve">target IAB-donor should know the number of UEs, DRBs and traffic requirement during the IAB-MT handover preparation procedure, if the target IAB-donor find the resource is not enough for such group of UEs, it can notify the source IAB-donor, so that the source IAB-donor can consider it to decide whether to choose other candidate target IAB-donor that can support such group of UEs. On the other hand, if the resource in the target IAB-donor can support the group of UEs, it knows the group of the UEs will be migrated in the near future, it can reserve the resource for those UEs, which can avoid UE handover failure or group handover failure during UE migration, </w:t>
      </w:r>
      <w:r w:rsidR="00D82770">
        <w:rPr>
          <w:szCs w:val="21"/>
        </w:rPr>
        <w:t>so the group admission control should be performed during the IAB-MT handover preparation procedure.</w:t>
      </w:r>
    </w:p>
    <w:p w14:paraId="0A52C96E" w14:textId="7C6DA07D" w:rsidR="00776271" w:rsidRPr="00BD5F05" w:rsidRDefault="00D82770" w:rsidP="004E6C01">
      <w:pPr>
        <w:rPr>
          <w:b/>
          <w:szCs w:val="21"/>
        </w:rPr>
      </w:pPr>
      <w:r w:rsidRPr="00BD5F05">
        <w:rPr>
          <w:b/>
          <w:szCs w:val="21"/>
        </w:rPr>
        <w:t>Proposal</w:t>
      </w:r>
      <w:r w:rsidR="00BD5F05">
        <w:rPr>
          <w:b/>
          <w:szCs w:val="21"/>
        </w:rPr>
        <w:t xml:space="preserve"> 4</w:t>
      </w:r>
      <w:r w:rsidRPr="00BD5F05">
        <w:rPr>
          <w:b/>
          <w:szCs w:val="21"/>
        </w:rPr>
        <w:t xml:space="preserve">, group </w:t>
      </w:r>
      <w:r w:rsidR="00776271" w:rsidRPr="00BD5F05">
        <w:rPr>
          <w:b/>
          <w:szCs w:val="21"/>
        </w:rPr>
        <w:t xml:space="preserve">UE </w:t>
      </w:r>
      <w:r w:rsidRPr="00BD5F05">
        <w:rPr>
          <w:b/>
          <w:szCs w:val="21"/>
        </w:rPr>
        <w:t>admission control</w:t>
      </w:r>
      <w:r w:rsidR="00776271" w:rsidRPr="00BD5F05">
        <w:rPr>
          <w:b/>
          <w:szCs w:val="21"/>
        </w:rPr>
        <w:t xml:space="preserve"> should be performed during IAB-MT handover preparation procedure</w:t>
      </w:r>
      <w:r w:rsidR="00755770">
        <w:rPr>
          <w:b/>
          <w:szCs w:val="21"/>
        </w:rPr>
        <w:t xml:space="preserve"> to avoid handover failure in UE migration</w:t>
      </w:r>
      <w:r w:rsidR="00776271" w:rsidRPr="00BD5F05">
        <w:rPr>
          <w:b/>
          <w:szCs w:val="21"/>
        </w:rPr>
        <w:t>.</w:t>
      </w:r>
    </w:p>
    <w:p w14:paraId="4B5946FF" w14:textId="212FEFE6" w:rsidR="00D82770" w:rsidRDefault="00D82770" w:rsidP="004E6C01">
      <w:pPr>
        <w:rPr>
          <w:i/>
          <w:szCs w:val="21"/>
          <w:u w:val="single"/>
        </w:rPr>
      </w:pPr>
      <w:r>
        <w:rPr>
          <w:szCs w:val="21"/>
        </w:rPr>
        <w:t xml:space="preserve"> </w:t>
      </w:r>
      <w:r w:rsidR="00697E26" w:rsidRPr="00697E26">
        <w:rPr>
          <w:i/>
          <w:szCs w:val="21"/>
          <w:u w:val="single"/>
        </w:rPr>
        <w:t xml:space="preserve">Issue 2, when the new logical DU </w:t>
      </w:r>
      <w:r w:rsidR="00697E26">
        <w:rPr>
          <w:i/>
          <w:szCs w:val="21"/>
          <w:u w:val="single"/>
        </w:rPr>
        <w:t xml:space="preserve">can be </w:t>
      </w:r>
      <w:r w:rsidR="00697E26" w:rsidRPr="00697E26">
        <w:rPr>
          <w:i/>
          <w:szCs w:val="21"/>
          <w:u w:val="single"/>
        </w:rPr>
        <w:t>setup?</w:t>
      </w:r>
    </w:p>
    <w:p w14:paraId="3EA3A375" w14:textId="05F343F7" w:rsidR="00697E26" w:rsidRDefault="00697E26" w:rsidP="004E6C01">
      <w:pPr>
        <w:rPr>
          <w:szCs w:val="21"/>
        </w:rPr>
      </w:pPr>
      <w:r>
        <w:rPr>
          <w:szCs w:val="21"/>
        </w:rPr>
        <w:t>In our understanding, if the mobile IAB-node knows it will perform full migration, it should start to setup the new logical DU (i.e. logical DU2 in the Figure 1). So, the new logical DU can be setup after step 4 i.e. IAB-MT receives the handover command from the source IAB-donor.</w:t>
      </w:r>
    </w:p>
    <w:p w14:paraId="6083024A" w14:textId="1CA0B587" w:rsidR="00697E26" w:rsidRPr="00D80BE8" w:rsidRDefault="00697E26" w:rsidP="004E6C01">
      <w:pPr>
        <w:rPr>
          <w:b/>
          <w:szCs w:val="21"/>
        </w:rPr>
      </w:pPr>
      <w:r w:rsidRPr="00D80BE8">
        <w:rPr>
          <w:b/>
          <w:szCs w:val="21"/>
        </w:rPr>
        <w:t>Proposal</w:t>
      </w:r>
      <w:r w:rsidR="00BD5F05">
        <w:rPr>
          <w:b/>
          <w:szCs w:val="21"/>
        </w:rPr>
        <w:t xml:space="preserve"> 5</w:t>
      </w:r>
      <w:r w:rsidRPr="00D80BE8">
        <w:rPr>
          <w:b/>
          <w:szCs w:val="21"/>
        </w:rPr>
        <w:t>, the new logical DU can be setup after IAB-MT receives the handover command from the source IAB-donor.</w:t>
      </w:r>
    </w:p>
    <w:p w14:paraId="05BC70CC" w14:textId="68208B20" w:rsidR="00697E26" w:rsidRPr="00697E26" w:rsidRDefault="00697E26" w:rsidP="00697E26">
      <w:pPr>
        <w:rPr>
          <w:b/>
          <w:szCs w:val="21"/>
          <w:u w:val="single"/>
        </w:rPr>
      </w:pPr>
      <w:r>
        <w:rPr>
          <w:b/>
          <w:szCs w:val="21"/>
          <w:u w:val="single"/>
        </w:rPr>
        <w:t xml:space="preserve">Phase 2, </w:t>
      </w:r>
      <w:r w:rsidRPr="00697E26">
        <w:rPr>
          <w:b/>
          <w:szCs w:val="21"/>
          <w:u w:val="single"/>
        </w:rPr>
        <w:t>IAB-</w:t>
      </w:r>
      <w:r>
        <w:rPr>
          <w:b/>
          <w:szCs w:val="21"/>
          <w:u w:val="single"/>
        </w:rPr>
        <w:t>DU</w:t>
      </w:r>
      <w:r w:rsidRPr="00697E26">
        <w:rPr>
          <w:b/>
          <w:szCs w:val="21"/>
          <w:u w:val="single"/>
        </w:rPr>
        <w:t xml:space="preserve"> migration</w:t>
      </w:r>
    </w:p>
    <w:p w14:paraId="6DFEB6EB" w14:textId="05372D22" w:rsidR="00697E26" w:rsidRDefault="00697E26" w:rsidP="00697E26">
      <w:pPr>
        <w:rPr>
          <w:i/>
          <w:szCs w:val="21"/>
          <w:u w:val="single"/>
        </w:rPr>
      </w:pPr>
      <w:r w:rsidRPr="00697E26">
        <w:rPr>
          <w:i/>
          <w:szCs w:val="21"/>
          <w:u w:val="single"/>
        </w:rPr>
        <w:t xml:space="preserve">Issue </w:t>
      </w:r>
      <w:r>
        <w:rPr>
          <w:i/>
          <w:szCs w:val="21"/>
          <w:u w:val="single"/>
        </w:rPr>
        <w:t>3</w:t>
      </w:r>
      <w:r w:rsidRPr="00697E26">
        <w:rPr>
          <w:i/>
          <w:szCs w:val="21"/>
          <w:u w:val="single"/>
        </w:rPr>
        <w:t xml:space="preserve">, </w:t>
      </w:r>
      <w:r w:rsidR="00D80BE8">
        <w:rPr>
          <w:i/>
          <w:szCs w:val="21"/>
          <w:u w:val="single"/>
        </w:rPr>
        <w:t>which entity initiate the IAB-DU migration</w:t>
      </w:r>
      <w:r w:rsidRPr="00697E26">
        <w:rPr>
          <w:i/>
          <w:szCs w:val="21"/>
          <w:u w:val="single"/>
        </w:rPr>
        <w:t>?</w:t>
      </w:r>
    </w:p>
    <w:p w14:paraId="5448BE61" w14:textId="0723F33A" w:rsidR="00697E26" w:rsidRDefault="00D80BE8" w:rsidP="004E6C01">
      <w:pPr>
        <w:rPr>
          <w:szCs w:val="21"/>
        </w:rPr>
      </w:pPr>
      <w:r>
        <w:rPr>
          <w:szCs w:val="21"/>
        </w:rPr>
        <w:t>Since the new logical DU is setup and IAB-MT is aware of whether the RRC reconfiguration complete message is successfully sent to the target IAB-donor</w:t>
      </w:r>
      <w:r w:rsidR="00BD5F05">
        <w:rPr>
          <w:szCs w:val="21"/>
        </w:rPr>
        <w:t xml:space="preserve"> by HARQ response</w:t>
      </w:r>
      <w:r>
        <w:rPr>
          <w:szCs w:val="21"/>
        </w:rPr>
        <w:t xml:space="preserve">, it </w:t>
      </w:r>
      <w:r w:rsidR="00BD5F05">
        <w:rPr>
          <w:szCs w:val="21"/>
        </w:rPr>
        <w:t>can</w:t>
      </w:r>
      <w:r>
        <w:rPr>
          <w:szCs w:val="21"/>
        </w:rPr>
        <w:t xml:space="preserve"> be the IAB-node initiate the IAB-DU migration. </w:t>
      </w:r>
    </w:p>
    <w:p w14:paraId="54FE9899" w14:textId="7EF20B8B" w:rsidR="00D80BE8" w:rsidRPr="000F1DB2" w:rsidRDefault="00D80BE8" w:rsidP="004E6C01">
      <w:pPr>
        <w:rPr>
          <w:b/>
          <w:szCs w:val="21"/>
        </w:rPr>
      </w:pPr>
      <w:r w:rsidRPr="000F1DB2">
        <w:rPr>
          <w:b/>
          <w:szCs w:val="21"/>
        </w:rPr>
        <w:t>Proposal</w:t>
      </w:r>
      <w:r w:rsidR="00800860">
        <w:rPr>
          <w:b/>
          <w:szCs w:val="21"/>
        </w:rPr>
        <w:t xml:space="preserve"> 6</w:t>
      </w:r>
      <w:r w:rsidRPr="000F1DB2">
        <w:rPr>
          <w:b/>
          <w:szCs w:val="21"/>
        </w:rPr>
        <w:t xml:space="preserve">, the new logical DU </w:t>
      </w:r>
      <w:r w:rsidR="00BD5F05">
        <w:rPr>
          <w:b/>
          <w:szCs w:val="21"/>
        </w:rPr>
        <w:t xml:space="preserve">in the IAB-node </w:t>
      </w:r>
      <w:r w:rsidRPr="000F1DB2">
        <w:rPr>
          <w:b/>
          <w:szCs w:val="21"/>
        </w:rPr>
        <w:t xml:space="preserve">can imitate F1 setup after </w:t>
      </w:r>
      <w:r w:rsidR="000904E9" w:rsidRPr="000F1DB2">
        <w:rPr>
          <w:b/>
          <w:szCs w:val="21"/>
        </w:rPr>
        <w:t>the IAB-MT</w:t>
      </w:r>
      <w:r w:rsidRPr="000F1DB2">
        <w:rPr>
          <w:b/>
          <w:szCs w:val="21"/>
        </w:rPr>
        <w:t xml:space="preserve"> successful</w:t>
      </w:r>
      <w:r w:rsidR="000904E9" w:rsidRPr="000F1DB2">
        <w:rPr>
          <w:b/>
          <w:szCs w:val="21"/>
        </w:rPr>
        <w:t xml:space="preserve"> handover.</w:t>
      </w:r>
    </w:p>
    <w:p w14:paraId="46041721" w14:textId="0017B402" w:rsidR="000904E9" w:rsidRPr="00697E26" w:rsidRDefault="000904E9" w:rsidP="000904E9">
      <w:pPr>
        <w:rPr>
          <w:b/>
          <w:szCs w:val="21"/>
          <w:u w:val="single"/>
        </w:rPr>
      </w:pPr>
      <w:r>
        <w:rPr>
          <w:b/>
          <w:szCs w:val="21"/>
          <w:u w:val="single"/>
        </w:rPr>
        <w:t>Phase 3, UE</w:t>
      </w:r>
      <w:r w:rsidRPr="00697E26">
        <w:rPr>
          <w:b/>
          <w:szCs w:val="21"/>
          <w:u w:val="single"/>
        </w:rPr>
        <w:t xml:space="preserve"> migration</w:t>
      </w:r>
    </w:p>
    <w:p w14:paraId="7793D872" w14:textId="56B93C08" w:rsidR="000904E9" w:rsidRDefault="000904E9" w:rsidP="000904E9">
      <w:pPr>
        <w:rPr>
          <w:i/>
          <w:szCs w:val="21"/>
          <w:u w:val="single"/>
        </w:rPr>
      </w:pPr>
      <w:r w:rsidRPr="00697E26">
        <w:rPr>
          <w:i/>
          <w:szCs w:val="21"/>
          <w:u w:val="single"/>
        </w:rPr>
        <w:t xml:space="preserve">Issue </w:t>
      </w:r>
      <w:r>
        <w:rPr>
          <w:i/>
          <w:szCs w:val="21"/>
          <w:u w:val="single"/>
        </w:rPr>
        <w:t>4</w:t>
      </w:r>
      <w:r w:rsidRPr="00697E26">
        <w:rPr>
          <w:i/>
          <w:szCs w:val="21"/>
          <w:u w:val="single"/>
        </w:rPr>
        <w:t xml:space="preserve">, </w:t>
      </w:r>
      <w:r>
        <w:rPr>
          <w:i/>
          <w:szCs w:val="21"/>
          <w:u w:val="single"/>
        </w:rPr>
        <w:t>which entity initiate the UE migration</w:t>
      </w:r>
      <w:r w:rsidRPr="00697E26">
        <w:rPr>
          <w:i/>
          <w:szCs w:val="21"/>
          <w:u w:val="single"/>
        </w:rPr>
        <w:t>?</w:t>
      </w:r>
    </w:p>
    <w:p w14:paraId="487B8758" w14:textId="442FF985" w:rsidR="000904E9" w:rsidRDefault="00B42422" w:rsidP="004E6C01">
      <w:pPr>
        <w:rPr>
          <w:szCs w:val="21"/>
        </w:rPr>
      </w:pPr>
      <w:r>
        <w:rPr>
          <w:szCs w:val="21"/>
        </w:rPr>
        <w:t xml:space="preserve">After </w:t>
      </w:r>
      <w:r w:rsidR="000F1DB2">
        <w:rPr>
          <w:szCs w:val="21"/>
        </w:rPr>
        <w:t>F1 between the new logical DU and the target IAB-donor is setup, we think both the IAB-DU1 in the IAB node and target IAB-donor can initiate the UE migration, as shown in step 10a and step 10b. In our understanding, the aim of the UE migration request is to notify the source IAB-donor the cell mapping relation between the old logical DU and the new logical DU, so that the source IAB-donor can initiate the group UE handover preparation procedure. If the target IAB-donor is responsible for the initiation of UE migration, additional F1 enhancement is needed as shown in step 8, i.e. the cell mapping relation should be included in F1 setup procedure. With less spec impact, step 10a is preferred, i.e. IAB-DU</w:t>
      </w:r>
      <w:r w:rsidR="000F1DB2" w:rsidRPr="000F1DB2">
        <w:t xml:space="preserve"> </w:t>
      </w:r>
      <w:r w:rsidR="000F1DB2" w:rsidRPr="000F1DB2">
        <w:rPr>
          <w:szCs w:val="21"/>
        </w:rPr>
        <w:t>is responsible for the initiation of UE migration</w:t>
      </w:r>
      <w:r w:rsidR="000F1DB2">
        <w:rPr>
          <w:szCs w:val="21"/>
        </w:rPr>
        <w:t>.</w:t>
      </w:r>
    </w:p>
    <w:p w14:paraId="118A0628" w14:textId="6F7C916C" w:rsidR="000904E9" w:rsidRDefault="000F1DB2" w:rsidP="004E6C01">
      <w:pPr>
        <w:rPr>
          <w:b/>
          <w:szCs w:val="21"/>
        </w:rPr>
      </w:pPr>
      <w:r w:rsidRPr="000F1DB2">
        <w:rPr>
          <w:b/>
          <w:szCs w:val="21"/>
        </w:rPr>
        <w:t>Proposal</w:t>
      </w:r>
      <w:r w:rsidR="00800860">
        <w:rPr>
          <w:b/>
          <w:szCs w:val="21"/>
        </w:rPr>
        <w:t xml:space="preserve"> 7</w:t>
      </w:r>
      <w:r w:rsidRPr="000F1DB2">
        <w:rPr>
          <w:b/>
          <w:szCs w:val="21"/>
        </w:rPr>
        <w:t>,</w:t>
      </w:r>
      <w:r w:rsidR="00BD5F05">
        <w:rPr>
          <w:b/>
          <w:szCs w:val="21"/>
        </w:rPr>
        <w:t xml:space="preserve"> the</w:t>
      </w:r>
      <w:r w:rsidRPr="000F1DB2">
        <w:rPr>
          <w:b/>
          <w:szCs w:val="21"/>
        </w:rPr>
        <w:t xml:space="preserve"> IAB node is responsible for the initiation of UE migration</w:t>
      </w:r>
      <w:r>
        <w:rPr>
          <w:b/>
          <w:szCs w:val="21"/>
        </w:rPr>
        <w:t>.</w:t>
      </w:r>
    </w:p>
    <w:p w14:paraId="38AFC8E3" w14:textId="771C96FC" w:rsidR="001265F8" w:rsidRPr="00800860" w:rsidRDefault="000F1DB2" w:rsidP="00800860">
      <w:pPr>
        <w:rPr>
          <w:b/>
          <w:szCs w:val="21"/>
        </w:rPr>
      </w:pPr>
      <w:r>
        <w:rPr>
          <w:b/>
          <w:szCs w:val="21"/>
        </w:rPr>
        <w:t>Proposal</w:t>
      </w:r>
      <w:r w:rsidR="00800860">
        <w:rPr>
          <w:b/>
          <w:szCs w:val="21"/>
        </w:rPr>
        <w:t xml:space="preserve"> 8</w:t>
      </w:r>
      <w:r>
        <w:rPr>
          <w:b/>
          <w:szCs w:val="21"/>
        </w:rPr>
        <w:t>, IAB-DU should notify the source IAB-donor the cell mapping relation between the two logical DUs.</w:t>
      </w:r>
      <w:bookmarkEnd w:id="2"/>
    </w:p>
    <w:p w14:paraId="0D110258" w14:textId="77777777" w:rsidR="00CD4C7B" w:rsidRPr="006E13D1" w:rsidRDefault="00972FD7" w:rsidP="00CD4C7B">
      <w:pPr>
        <w:pStyle w:val="1"/>
      </w:pPr>
      <w:r>
        <w:t>3</w:t>
      </w:r>
      <w:r w:rsidR="00CD4C7B" w:rsidRPr="006E13D1">
        <w:tab/>
      </w:r>
      <w:r>
        <w:t>Conclusion</w:t>
      </w:r>
    </w:p>
    <w:p w14:paraId="6093981F" w14:textId="60E27A75" w:rsidR="00CD4C7B" w:rsidRDefault="00755770" w:rsidP="00CD4C7B">
      <w:r>
        <w:t>In this contribution, we discussed the general stage2 procedure for full migration, based on which, we further identify some issues for IAB-MT migration and DU migration, and had the following observations and proposals.</w:t>
      </w:r>
      <w:bookmarkStart w:id="3" w:name="_GoBack"/>
      <w:bookmarkEnd w:id="3"/>
    </w:p>
    <w:p w14:paraId="3F2EB7A3" w14:textId="77777777" w:rsidR="00800860" w:rsidRDefault="00800860" w:rsidP="00800860">
      <w:pPr>
        <w:spacing w:after="120"/>
        <w:rPr>
          <w:b/>
          <w:szCs w:val="21"/>
        </w:rPr>
      </w:pPr>
      <w:r w:rsidRPr="007E4746">
        <w:rPr>
          <w:b/>
          <w:szCs w:val="21"/>
        </w:rPr>
        <w:t>Proposal 1</w:t>
      </w:r>
      <w:r>
        <w:rPr>
          <w:b/>
          <w:szCs w:val="21"/>
        </w:rPr>
        <w:t>, RAN3 agree the stage 2 procedure as follows for IAB full migration</w:t>
      </w:r>
    </w:p>
    <w:p w14:paraId="7E47B144" w14:textId="77777777" w:rsidR="00800860" w:rsidRPr="00BD5F05" w:rsidRDefault="00800860" w:rsidP="00800860">
      <w:pPr>
        <w:spacing w:after="120"/>
        <w:rPr>
          <w:b/>
          <w:szCs w:val="21"/>
        </w:rPr>
      </w:pPr>
      <w:r w:rsidRPr="00BD5F05">
        <w:rPr>
          <w:b/>
          <w:szCs w:val="21"/>
        </w:rPr>
        <w:t>Phase 1, IAB-MT migration</w:t>
      </w:r>
    </w:p>
    <w:p w14:paraId="1F6881BB" w14:textId="77777777" w:rsidR="00800860" w:rsidRPr="00BD5F05" w:rsidRDefault="00800860" w:rsidP="00800860">
      <w:pPr>
        <w:spacing w:after="120"/>
        <w:rPr>
          <w:b/>
          <w:szCs w:val="21"/>
        </w:rPr>
      </w:pPr>
      <w:r w:rsidRPr="00BD5F05">
        <w:rPr>
          <w:b/>
          <w:szCs w:val="21"/>
        </w:rPr>
        <w:t>Phase 2, IAB-DU migration</w:t>
      </w:r>
    </w:p>
    <w:p w14:paraId="07459883" w14:textId="7DCA63EE" w:rsidR="00800860" w:rsidRDefault="00800860" w:rsidP="00800860">
      <w:pPr>
        <w:spacing w:after="120"/>
        <w:rPr>
          <w:b/>
          <w:szCs w:val="21"/>
        </w:rPr>
      </w:pPr>
      <w:r w:rsidRPr="00BD5F05">
        <w:rPr>
          <w:b/>
          <w:szCs w:val="21"/>
        </w:rPr>
        <w:t>Phase 3, UE migration</w:t>
      </w:r>
    </w:p>
    <w:p w14:paraId="409EAD79" w14:textId="77777777" w:rsidR="00800860" w:rsidRPr="007E4746" w:rsidRDefault="00800860" w:rsidP="00800860">
      <w:pPr>
        <w:rPr>
          <w:b/>
          <w:szCs w:val="21"/>
        </w:rPr>
      </w:pPr>
      <w:r w:rsidRPr="007E4746">
        <w:rPr>
          <w:b/>
          <w:szCs w:val="21"/>
        </w:rPr>
        <w:lastRenderedPageBreak/>
        <w:t xml:space="preserve">Proposal </w:t>
      </w:r>
      <w:r>
        <w:rPr>
          <w:b/>
          <w:szCs w:val="21"/>
        </w:rPr>
        <w:t>2</w:t>
      </w:r>
      <w:r w:rsidRPr="007E4746">
        <w:rPr>
          <w:b/>
          <w:szCs w:val="21"/>
        </w:rPr>
        <w:t xml:space="preserve">, </w:t>
      </w:r>
      <w:r>
        <w:rPr>
          <w:b/>
          <w:szCs w:val="21"/>
        </w:rPr>
        <w:t xml:space="preserve">RAN3 agree to use alt 1 (i.e. </w:t>
      </w:r>
      <w:r w:rsidRPr="000904E9">
        <w:rPr>
          <w:b/>
          <w:szCs w:val="21"/>
        </w:rPr>
        <w:t>two logical DUs use separate physical cell resources</w:t>
      </w:r>
      <w:r>
        <w:rPr>
          <w:b/>
          <w:szCs w:val="21"/>
        </w:rPr>
        <w:t>) as baseline.</w:t>
      </w:r>
    </w:p>
    <w:p w14:paraId="5E8AE118" w14:textId="77777777" w:rsidR="00800860" w:rsidRDefault="00800860" w:rsidP="00800860">
      <w:pPr>
        <w:rPr>
          <w:b/>
          <w:szCs w:val="21"/>
        </w:rPr>
      </w:pPr>
      <w:r>
        <w:rPr>
          <w:b/>
          <w:szCs w:val="21"/>
        </w:rPr>
        <w:t>Observation 1, target IAB-donor will act differently for full migration and partial migration.</w:t>
      </w:r>
    </w:p>
    <w:p w14:paraId="10EA460A" w14:textId="77777777" w:rsidR="00800860" w:rsidRDefault="00800860" w:rsidP="00800860">
      <w:pPr>
        <w:rPr>
          <w:b/>
          <w:szCs w:val="21"/>
        </w:rPr>
      </w:pPr>
      <w:r w:rsidRPr="00E0084C">
        <w:rPr>
          <w:b/>
          <w:szCs w:val="21"/>
        </w:rPr>
        <w:t>Proposal</w:t>
      </w:r>
      <w:r>
        <w:rPr>
          <w:b/>
          <w:szCs w:val="21"/>
        </w:rPr>
        <w:t xml:space="preserve"> 3</w:t>
      </w:r>
      <w:r w:rsidRPr="00E0084C">
        <w:rPr>
          <w:b/>
          <w:szCs w:val="21"/>
        </w:rPr>
        <w:t>, RAN3 discuss how the target IAB-donor be aware of the IAB-node migration type.</w:t>
      </w:r>
    </w:p>
    <w:p w14:paraId="0F50AB1B" w14:textId="77777777" w:rsidR="00755770" w:rsidRPr="00BD5F05" w:rsidRDefault="00755770" w:rsidP="00755770">
      <w:pPr>
        <w:rPr>
          <w:b/>
          <w:szCs w:val="21"/>
        </w:rPr>
      </w:pPr>
      <w:r w:rsidRPr="00BD5F05">
        <w:rPr>
          <w:b/>
          <w:szCs w:val="21"/>
        </w:rPr>
        <w:t>Proposal</w:t>
      </w:r>
      <w:r>
        <w:rPr>
          <w:b/>
          <w:szCs w:val="21"/>
        </w:rPr>
        <w:t xml:space="preserve"> 4</w:t>
      </w:r>
      <w:r w:rsidRPr="00BD5F05">
        <w:rPr>
          <w:b/>
          <w:szCs w:val="21"/>
        </w:rPr>
        <w:t>, group UE admission control should be performed during IAB-MT handover preparation procedure</w:t>
      </w:r>
      <w:r>
        <w:rPr>
          <w:b/>
          <w:szCs w:val="21"/>
        </w:rPr>
        <w:t xml:space="preserve"> to avoid handover failure in UE migration</w:t>
      </w:r>
      <w:r w:rsidRPr="00BD5F05">
        <w:rPr>
          <w:b/>
          <w:szCs w:val="21"/>
        </w:rPr>
        <w:t>.</w:t>
      </w:r>
    </w:p>
    <w:p w14:paraId="0E840E25" w14:textId="77777777" w:rsidR="00800860" w:rsidRPr="00D80BE8" w:rsidRDefault="00800860" w:rsidP="00800860">
      <w:pPr>
        <w:rPr>
          <w:b/>
          <w:szCs w:val="21"/>
        </w:rPr>
      </w:pPr>
      <w:r w:rsidRPr="00D80BE8">
        <w:rPr>
          <w:b/>
          <w:szCs w:val="21"/>
        </w:rPr>
        <w:t>Proposal</w:t>
      </w:r>
      <w:r>
        <w:rPr>
          <w:b/>
          <w:szCs w:val="21"/>
        </w:rPr>
        <w:t xml:space="preserve"> 5</w:t>
      </w:r>
      <w:r w:rsidRPr="00D80BE8">
        <w:rPr>
          <w:b/>
          <w:szCs w:val="21"/>
        </w:rPr>
        <w:t>, the new logical DU can be setup after IAB-MT receives the handover command from the source IAB-donor.</w:t>
      </w:r>
    </w:p>
    <w:p w14:paraId="100A80A8" w14:textId="77777777" w:rsidR="00800860" w:rsidRPr="000F1DB2" w:rsidRDefault="00800860" w:rsidP="00800860">
      <w:pPr>
        <w:rPr>
          <w:b/>
          <w:szCs w:val="21"/>
        </w:rPr>
      </w:pPr>
      <w:r w:rsidRPr="000F1DB2">
        <w:rPr>
          <w:b/>
          <w:szCs w:val="21"/>
        </w:rPr>
        <w:t>Proposal</w:t>
      </w:r>
      <w:r>
        <w:rPr>
          <w:b/>
          <w:szCs w:val="21"/>
        </w:rPr>
        <w:t xml:space="preserve"> 6</w:t>
      </w:r>
      <w:r w:rsidRPr="000F1DB2">
        <w:rPr>
          <w:b/>
          <w:szCs w:val="21"/>
        </w:rPr>
        <w:t xml:space="preserve">, the new logical DU </w:t>
      </w:r>
      <w:r>
        <w:rPr>
          <w:b/>
          <w:szCs w:val="21"/>
        </w:rPr>
        <w:t xml:space="preserve">in the IAB-node </w:t>
      </w:r>
      <w:r w:rsidRPr="000F1DB2">
        <w:rPr>
          <w:b/>
          <w:szCs w:val="21"/>
        </w:rPr>
        <w:t>can imitate F1 setup after the IAB-MT successful handover.</w:t>
      </w:r>
    </w:p>
    <w:p w14:paraId="18F2B6DA" w14:textId="77777777" w:rsidR="00800860" w:rsidRDefault="00800860" w:rsidP="00800860">
      <w:pPr>
        <w:rPr>
          <w:b/>
          <w:szCs w:val="21"/>
        </w:rPr>
      </w:pPr>
      <w:r w:rsidRPr="000F1DB2">
        <w:rPr>
          <w:b/>
          <w:szCs w:val="21"/>
        </w:rPr>
        <w:t>Proposal</w:t>
      </w:r>
      <w:r>
        <w:rPr>
          <w:b/>
          <w:szCs w:val="21"/>
        </w:rPr>
        <w:t xml:space="preserve"> 7</w:t>
      </w:r>
      <w:r w:rsidRPr="000F1DB2">
        <w:rPr>
          <w:b/>
          <w:szCs w:val="21"/>
        </w:rPr>
        <w:t>,</w:t>
      </w:r>
      <w:r>
        <w:rPr>
          <w:b/>
          <w:szCs w:val="21"/>
        </w:rPr>
        <w:t xml:space="preserve"> the</w:t>
      </w:r>
      <w:r w:rsidRPr="000F1DB2">
        <w:rPr>
          <w:b/>
          <w:szCs w:val="21"/>
        </w:rPr>
        <w:t xml:space="preserve"> IAB node is responsible for the initiation of UE migration</w:t>
      </w:r>
      <w:r>
        <w:rPr>
          <w:b/>
          <w:szCs w:val="21"/>
        </w:rPr>
        <w:t>.</w:t>
      </w:r>
    </w:p>
    <w:p w14:paraId="58689EBD" w14:textId="47FD5EB9" w:rsidR="00800860" w:rsidRPr="007E4746" w:rsidRDefault="00800860" w:rsidP="00800860">
      <w:pPr>
        <w:rPr>
          <w:b/>
          <w:szCs w:val="21"/>
        </w:rPr>
      </w:pPr>
      <w:r>
        <w:rPr>
          <w:b/>
          <w:szCs w:val="21"/>
        </w:rPr>
        <w:t>Proposal 8, IAB-DU should notify the source IAB-donor the cell mapping relation between the two logical DUs.</w:t>
      </w:r>
    </w:p>
    <w:p w14:paraId="193FD945" w14:textId="41EEED5D" w:rsidR="00CD4C7B" w:rsidRPr="006E13D1" w:rsidRDefault="00342065" w:rsidP="00CD4C7B">
      <w:pPr>
        <w:pStyle w:val="1"/>
      </w:pPr>
      <w:r>
        <w:t>4</w:t>
      </w:r>
      <w:r>
        <w:tab/>
      </w:r>
      <w:r w:rsidR="00CD4C7B" w:rsidRPr="006E13D1">
        <w:t>References</w:t>
      </w:r>
    </w:p>
    <w:p w14:paraId="0BA2BD6A" w14:textId="762D33F2"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D9B4A" w14:textId="77777777" w:rsidR="00096CCA" w:rsidRDefault="00096CCA">
      <w:r>
        <w:separator/>
      </w:r>
    </w:p>
  </w:endnote>
  <w:endnote w:type="continuationSeparator" w:id="0">
    <w:p w14:paraId="29EACB4C" w14:textId="77777777" w:rsidR="00096CCA" w:rsidRDefault="0009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DDF3C" w14:textId="77777777" w:rsidR="00096CCA" w:rsidRDefault="00096CCA">
      <w:r>
        <w:separator/>
      </w:r>
    </w:p>
  </w:footnote>
  <w:footnote w:type="continuationSeparator" w:id="0">
    <w:p w14:paraId="11D44679" w14:textId="77777777" w:rsidR="00096CCA" w:rsidRDefault="00096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4"/>
  </w:num>
  <w:num w:numId="7">
    <w:abstractNumId w:val="9"/>
  </w:num>
  <w:num w:numId="8">
    <w:abstractNumId w:val="10"/>
  </w:num>
  <w:num w:numId="9">
    <w:abstractNumId w:val="5"/>
  </w:num>
  <w:num w:numId="10">
    <w:abstractNumId w:val="8"/>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263B"/>
    <w:rsid w:val="00033397"/>
    <w:rsid w:val="000342C7"/>
    <w:rsid w:val="00040095"/>
    <w:rsid w:val="0005563E"/>
    <w:rsid w:val="00080512"/>
    <w:rsid w:val="00083F0D"/>
    <w:rsid w:val="000904E9"/>
    <w:rsid w:val="00096CCA"/>
    <w:rsid w:val="000B7BCF"/>
    <w:rsid w:val="000C1506"/>
    <w:rsid w:val="000C556D"/>
    <w:rsid w:val="000D376D"/>
    <w:rsid w:val="000D58AB"/>
    <w:rsid w:val="000F1DB2"/>
    <w:rsid w:val="000F693F"/>
    <w:rsid w:val="001075B7"/>
    <w:rsid w:val="001265F8"/>
    <w:rsid w:val="0013262A"/>
    <w:rsid w:val="001370F2"/>
    <w:rsid w:val="001549DD"/>
    <w:rsid w:val="00155FF2"/>
    <w:rsid w:val="0017527C"/>
    <w:rsid w:val="00190CAC"/>
    <w:rsid w:val="00194CD0"/>
    <w:rsid w:val="001B08B3"/>
    <w:rsid w:val="001C4281"/>
    <w:rsid w:val="001D0D3F"/>
    <w:rsid w:val="001E39D1"/>
    <w:rsid w:val="001E6294"/>
    <w:rsid w:val="001F168B"/>
    <w:rsid w:val="001F70B7"/>
    <w:rsid w:val="00225F6D"/>
    <w:rsid w:val="0022606D"/>
    <w:rsid w:val="002305DD"/>
    <w:rsid w:val="00243BC7"/>
    <w:rsid w:val="00250D89"/>
    <w:rsid w:val="002546FB"/>
    <w:rsid w:val="002623FC"/>
    <w:rsid w:val="002747EC"/>
    <w:rsid w:val="002855BF"/>
    <w:rsid w:val="002868BC"/>
    <w:rsid w:val="002953B2"/>
    <w:rsid w:val="002E1692"/>
    <w:rsid w:val="002F0D22"/>
    <w:rsid w:val="002F5942"/>
    <w:rsid w:val="003172DC"/>
    <w:rsid w:val="003238E8"/>
    <w:rsid w:val="00326069"/>
    <w:rsid w:val="00342065"/>
    <w:rsid w:val="003454FC"/>
    <w:rsid w:val="00353B12"/>
    <w:rsid w:val="0035462D"/>
    <w:rsid w:val="00363177"/>
    <w:rsid w:val="003702F7"/>
    <w:rsid w:val="00370F20"/>
    <w:rsid w:val="003717A7"/>
    <w:rsid w:val="00385F81"/>
    <w:rsid w:val="003B3FB3"/>
    <w:rsid w:val="003B5FD6"/>
    <w:rsid w:val="003C4E37"/>
    <w:rsid w:val="003E1194"/>
    <w:rsid w:val="003E16BE"/>
    <w:rsid w:val="003E7223"/>
    <w:rsid w:val="00401855"/>
    <w:rsid w:val="00406760"/>
    <w:rsid w:val="00455983"/>
    <w:rsid w:val="00464695"/>
    <w:rsid w:val="004C53DC"/>
    <w:rsid w:val="004C5539"/>
    <w:rsid w:val="004D3578"/>
    <w:rsid w:val="004D380D"/>
    <w:rsid w:val="004D3F58"/>
    <w:rsid w:val="004D5E47"/>
    <w:rsid w:val="004E0173"/>
    <w:rsid w:val="004E213A"/>
    <w:rsid w:val="004E21FC"/>
    <w:rsid w:val="004E6C01"/>
    <w:rsid w:val="00503171"/>
    <w:rsid w:val="005153FE"/>
    <w:rsid w:val="005240A4"/>
    <w:rsid w:val="00531C12"/>
    <w:rsid w:val="00534DA0"/>
    <w:rsid w:val="005361A0"/>
    <w:rsid w:val="00540B31"/>
    <w:rsid w:val="00543E6C"/>
    <w:rsid w:val="00544635"/>
    <w:rsid w:val="00557E1D"/>
    <w:rsid w:val="005626DD"/>
    <w:rsid w:val="00565087"/>
    <w:rsid w:val="0056573F"/>
    <w:rsid w:val="00565BE9"/>
    <w:rsid w:val="00571CE2"/>
    <w:rsid w:val="0057579F"/>
    <w:rsid w:val="00587958"/>
    <w:rsid w:val="005A4971"/>
    <w:rsid w:val="005B1232"/>
    <w:rsid w:val="005B2EEF"/>
    <w:rsid w:val="005D0F3B"/>
    <w:rsid w:val="005D4274"/>
    <w:rsid w:val="005E3C56"/>
    <w:rsid w:val="005F1BD4"/>
    <w:rsid w:val="00605E3E"/>
    <w:rsid w:val="00606DA9"/>
    <w:rsid w:val="00611566"/>
    <w:rsid w:val="00611D47"/>
    <w:rsid w:val="006327AD"/>
    <w:rsid w:val="006538D4"/>
    <w:rsid w:val="00656E1E"/>
    <w:rsid w:val="006604E4"/>
    <w:rsid w:val="0067782C"/>
    <w:rsid w:val="00697E26"/>
    <w:rsid w:val="006B36A5"/>
    <w:rsid w:val="006B3E5D"/>
    <w:rsid w:val="006C54B5"/>
    <w:rsid w:val="006D1E24"/>
    <w:rsid w:val="00702BDF"/>
    <w:rsid w:val="007304F5"/>
    <w:rsid w:val="00734A5B"/>
    <w:rsid w:val="00741EC5"/>
    <w:rsid w:val="00743525"/>
    <w:rsid w:val="00744E76"/>
    <w:rsid w:val="007476DB"/>
    <w:rsid w:val="00755770"/>
    <w:rsid w:val="00756B13"/>
    <w:rsid w:val="00757D40"/>
    <w:rsid w:val="00767CDA"/>
    <w:rsid w:val="0077054F"/>
    <w:rsid w:val="00774846"/>
    <w:rsid w:val="00776271"/>
    <w:rsid w:val="00781F0F"/>
    <w:rsid w:val="0078727C"/>
    <w:rsid w:val="00797225"/>
    <w:rsid w:val="00797D4B"/>
    <w:rsid w:val="007C095F"/>
    <w:rsid w:val="007C36EF"/>
    <w:rsid w:val="007D5902"/>
    <w:rsid w:val="007E1F12"/>
    <w:rsid w:val="007E4746"/>
    <w:rsid w:val="007F2676"/>
    <w:rsid w:val="007F3F5F"/>
    <w:rsid w:val="00800860"/>
    <w:rsid w:val="00802106"/>
    <w:rsid w:val="008028A4"/>
    <w:rsid w:val="00806520"/>
    <w:rsid w:val="008223CA"/>
    <w:rsid w:val="00830106"/>
    <w:rsid w:val="00840916"/>
    <w:rsid w:val="008415DA"/>
    <w:rsid w:val="00853EDD"/>
    <w:rsid w:val="008604EE"/>
    <w:rsid w:val="00865B05"/>
    <w:rsid w:val="0087401D"/>
    <w:rsid w:val="008768CA"/>
    <w:rsid w:val="00880559"/>
    <w:rsid w:val="008975A9"/>
    <w:rsid w:val="008A4A6A"/>
    <w:rsid w:val="008A79DE"/>
    <w:rsid w:val="008C2835"/>
    <w:rsid w:val="008C490B"/>
    <w:rsid w:val="0090271F"/>
    <w:rsid w:val="00903D8C"/>
    <w:rsid w:val="00904D26"/>
    <w:rsid w:val="00917051"/>
    <w:rsid w:val="009321BB"/>
    <w:rsid w:val="00942EC2"/>
    <w:rsid w:val="00952D8F"/>
    <w:rsid w:val="00954BCB"/>
    <w:rsid w:val="00961B32"/>
    <w:rsid w:val="00971683"/>
    <w:rsid w:val="00972FD7"/>
    <w:rsid w:val="00974BB0"/>
    <w:rsid w:val="009A6E4F"/>
    <w:rsid w:val="009B36EB"/>
    <w:rsid w:val="009B4F59"/>
    <w:rsid w:val="009C4D5C"/>
    <w:rsid w:val="009D0A28"/>
    <w:rsid w:val="009F3B54"/>
    <w:rsid w:val="009F75AB"/>
    <w:rsid w:val="009F7E6E"/>
    <w:rsid w:val="00A10F02"/>
    <w:rsid w:val="00A2199E"/>
    <w:rsid w:val="00A4298B"/>
    <w:rsid w:val="00A53724"/>
    <w:rsid w:val="00A61FEF"/>
    <w:rsid w:val="00A64C87"/>
    <w:rsid w:val="00A80B02"/>
    <w:rsid w:val="00A82346"/>
    <w:rsid w:val="00A8361A"/>
    <w:rsid w:val="00A9671C"/>
    <w:rsid w:val="00AB6AAB"/>
    <w:rsid w:val="00AD4BCF"/>
    <w:rsid w:val="00AF4A8E"/>
    <w:rsid w:val="00AF78D5"/>
    <w:rsid w:val="00B03810"/>
    <w:rsid w:val="00B1063A"/>
    <w:rsid w:val="00B15449"/>
    <w:rsid w:val="00B41851"/>
    <w:rsid w:val="00B42422"/>
    <w:rsid w:val="00B503D9"/>
    <w:rsid w:val="00B6745D"/>
    <w:rsid w:val="00B9781E"/>
    <w:rsid w:val="00BA6755"/>
    <w:rsid w:val="00BD5F05"/>
    <w:rsid w:val="00BF79F1"/>
    <w:rsid w:val="00C03035"/>
    <w:rsid w:val="00C275BC"/>
    <w:rsid w:val="00C33079"/>
    <w:rsid w:val="00C365F1"/>
    <w:rsid w:val="00C43B31"/>
    <w:rsid w:val="00C50536"/>
    <w:rsid w:val="00C55EB7"/>
    <w:rsid w:val="00C805B8"/>
    <w:rsid w:val="00C866E9"/>
    <w:rsid w:val="00CA276C"/>
    <w:rsid w:val="00CA3D0C"/>
    <w:rsid w:val="00CB6651"/>
    <w:rsid w:val="00CB6887"/>
    <w:rsid w:val="00CC64B4"/>
    <w:rsid w:val="00CD41C2"/>
    <w:rsid w:val="00CD4C7B"/>
    <w:rsid w:val="00D22038"/>
    <w:rsid w:val="00D23014"/>
    <w:rsid w:val="00D45717"/>
    <w:rsid w:val="00D45D1F"/>
    <w:rsid w:val="00D738D6"/>
    <w:rsid w:val="00D764AE"/>
    <w:rsid w:val="00D80795"/>
    <w:rsid w:val="00D80BE8"/>
    <w:rsid w:val="00D82770"/>
    <w:rsid w:val="00D87E00"/>
    <w:rsid w:val="00D908B4"/>
    <w:rsid w:val="00D90D48"/>
    <w:rsid w:val="00D9134D"/>
    <w:rsid w:val="00D97CD9"/>
    <w:rsid w:val="00DA1CA9"/>
    <w:rsid w:val="00DA5329"/>
    <w:rsid w:val="00DA7A03"/>
    <w:rsid w:val="00DB1818"/>
    <w:rsid w:val="00DC1445"/>
    <w:rsid w:val="00DC309B"/>
    <w:rsid w:val="00DC4DA2"/>
    <w:rsid w:val="00DE1406"/>
    <w:rsid w:val="00E0084C"/>
    <w:rsid w:val="00E07838"/>
    <w:rsid w:val="00E305A4"/>
    <w:rsid w:val="00E340BC"/>
    <w:rsid w:val="00E51135"/>
    <w:rsid w:val="00E51F8B"/>
    <w:rsid w:val="00E62835"/>
    <w:rsid w:val="00E77645"/>
    <w:rsid w:val="00E852FF"/>
    <w:rsid w:val="00E90ABE"/>
    <w:rsid w:val="00EA1D56"/>
    <w:rsid w:val="00EA22F8"/>
    <w:rsid w:val="00EC4A25"/>
    <w:rsid w:val="00ED0D91"/>
    <w:rsid w:val="00ED1751"/>
    <w:rsid w:val="00ED7F72"/>
    <w:rsid w:val="00EE022B"/>
    <w:rsid w:val="00EE0A1E"/>
    <w:rsid w:val="00EF2DFA"/>
    <w:rsid w:val="00F025A2"/>
    <w:rsid w:val="00F2026E"/>
    <w:rsid w:val="00F2210A"/>
    <w:rsid w:val="00F37743"/>
    <w:rsid w:val="00F54114"/>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35158-A4C6-4D4F-A7CB-18703A97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1603</Words>
  <Characters>9142</Characters>
  <Application>Microsoft Office Word</Application>
  <DocSecurity>0</DocSecurity>
  <Lines>76</Lines>
  <Paragraphs>21</Paragraphs>
  <ScaleCrop>false</ScaleCrop>
  <Company/>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2022-08-09T05:53:00Z</dcterms:created>
  <dcterms:modified xsi:type="dcterms:W3CDTF">2022-08-09T06:00:00Z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